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46221" w14:textId="2BCEE078" w:rsidR="008B5FF8" w:rsidRPr="00862CE2" w:rsidRDefault="008B5FF8" w:rsidP="00862CE2">
      <w:pPr>
        <w:pStyle w:val="Verzeichnis1"/>
      </w:pPr>
      <w:r w:rsidRPr="00862CE2">
        <w:t>P</w:t>
      </w:r>
      <w:r w:rsidR="00862CE2" w:rsidRPr="00862CE2">
        <w:t>osition sur la Révision de l’Ordonnance sur l’énergie nucléaire (et autres Ordonnances dans le dOmaine nucléaire)</w:t>
      </w:r>
    </w:p>
    <w:p w14:paraId="5948DC5D" w14:textId="77777777" w:rsidR="0098183A" w:rsidRPr="00114E94" w:rsidRDefault="0098183A" w:rsidP="0098183A">
      <w:pPr>
        <w:rPr>
          <w:highlight w:val="yellow"/>
          <w:lang w:val="en-US"/>
        </w:rPr>
      </w:pPr>
    </w:p>
    <w:p w14:paraId="28554688" w14:textId="3260814F" w:rsidR="001C7CE8" w:rsidRDefault="005E7D0A" w:rsidP="0098183A">
      <w:pPr>
        <w:rPr>
          <w:highlight w:val="yellow"/>
          <w:lang w:val="en-US"/>
        </w:rPr>
      </w:pPr>
      <w:r>
        <w:rPr>
          <w:highlight w:val="yellow"/>
          <w:lang w:val="en-US"/>
        </w:rPr>
        <w:t>((</w:t>
      </w:r>
      <w:r w:rsidR="001C7CE8">
        <w:rPr>
          <w:highlight w:val="yellow"/>
          <w:lang w:val="en-US"/>
        </w:rPr>
        <w:t>Pour info, à supprimer:</w:t>
      </w:r>
    </w:p>
    <w:p w14:paraId="589B0559" w14:textId="46008F08" w:rsidR="002D5622" w:rsidRPr="002D5622" w:rsidRDefault="0098183A" w:rsidP="0098183A">
      <w:pPr>
        <w:rPr>
          <w:highlight w:val="yellow"/>
          <w:lang w:val="en-US"/>
        </w:rPr>
      </w:pPr>
      <w:r w:rsidRPr="002D5622">
        <w:rPr>
          <w:highlight w:val="yellow"/>
          <w:lang w:val="en-US"/>
        </w:rPr>
        <w:t xml:space="preserve">Rédaction: Florian Kasser, </w:t>
      </w:r>
      <w:r w:rsidR="002D5622" w:rsidRPr="002D5622">
        <w:rPr>
          <w:highlight w:val="yellow"/>
          <w:lang w:val="en-US"/>
        </w:rPr>
        <w:t>Greenpeace Suisse (personne de contact 076 345 26 55</w:t>
      </w:r>
      <w:r w:rsidR="002D5622">
        <w:rPr>
          <w:highlight w:val="yellow"/>
          <w:lang w:val="en-US"/>
        </w:rPr>
        <w:t xml:space="preserve"> </w:t>
      </w:r>
      <w:r w:rsidR="002D5622" w:rsidRPr="002D5622">
        <w:rPr>
          <w:highlight w:val="yellow"/>
          <w:lang w:val="en-US"/>
        </w:rPr>
        <w:t xml:space="preserve">florian.kasser@greenpeace.org); </w:t>
      </w:r>
    </w:p>
    <w:p w14:paraId="167502C8" w14:textId="77777777" w:rsidR="002D5622" w:rsidRDefault="002D5622" w:rsidP="0098183A">
      <w:pPr>
        <w:rPr>
          <w:highlight w:val="yellow"/>
        </w:rPr>
      </w:pPr>
      <w:r w:rsidRPr="002D5622">
        <w:rPr>
          <w:highlight w:val="yellow"/>
        </w:rPr>
        <w:t>Nils Epprecht, Fondation Suisse de l’énergie;</w:t>
      </w:r>
      <w:r w:rsidR="00191319" w:rsidRPr="002D5622">
        <w:rPr>
          <w:highlight w:val="yellow"/>
        </w:rPr>
        <w:t xml:space="preserve"> </w:t>
      </w:r>
    </w:p>
    <w:p w14:paraId="501A078B" w14:textId="77777777" w:rsidR="002D5622" w:rsidRPr="001C7CE8" w:rsidRDefault="0098183A" w:rsidP="0098183A">
      <w:pPr>
        <w:rPr>
          <w:highlight w:val="yellow"/>
          <w:lang w:val="en-US"/>
        </w:rPr>
      </w:pPr>
      <w:r w:rsidRPr="001C7CE8">
        <w:rPr>
          <w:highlight w:val="yellow"/>
          <w:lang w:val="en-US"/>
        </w:rPr>
        <w:t xml:space="preserve">Martin Pestalozzi, </w:t>
      </w:r>
      <w:r w:rsidR="002D5622" w:rsidRPr="001C7CE8">
        <w:rPr>
          <w:highlight w:val="yellow"/>
          <w:lang w:val="en-US"/>
        </w:rPr>
        <w:t>a</w:t>
      </w:r>
      <w:r w:rsidRPr="001C7CE8">
        <w:rPr>
          <w:highlight w:val="yellow"/>
          <w:lang w:val="en-US"/>
        </w:rPr>
        <w:t>vocat</w:t>
      </w:r>
      <w:r w:rsidR="002D5622" w:rsidRPr="001C7CE8">
        <w:rPr>
          <w:highlight w:val="yellow"/>
          <w:lang w:val="en-US"/>
        </w:rPr>
        <w:t xml:space="preserve">; </w:t>
      </w:r>
    </w:p>
    <w:p w14:paraId="5B3AB267" w14:textId="3B4D8B71" w:rsidR="0098183A" w:rsidRPr="001C7CE8" w:rsidRDefault="002D5622" w:rsidP="0098183A">
      <w:pPr>
        <w:rPr>
          <w:highlight w:val="yellow"/>
          <w:lang w:val="en-US"/>
        </w:rPr>
      </w:pPr>
      <w:r w:rsidRPr="001C7CE8">
        <w:rPr>
          <w:highlight w:val="yellow"/>
          <w:lang w:val="en-US"/>
        </w:rPr>
        <w:t>Markus Kühni, expert nucléaire</w:t>
      </w:r>
      <w:r w:rsidR="005E7D0A">
        <w:rPr>
          <w:highlight w:val="yellow"/>
          <w:lang w:val="en-US"/>
        </w:rPr>
        <w:t>))</w:t>
      </w:r>
      <w:bookmarkStart w:id="0" w:name="_GoBack"/>
      <w:bookmarkEnd w:id="0"/>
    </w:p>
    <w:p w14:paraId="3A86368F" w14:textId="77777777" w:rsidR="0098183A" w:rsidRPr="0098183A" w:rsidRDefault="0098183A" w:rsidP="0098183A">
      <w:pPr>
        <w:rPr>
          <w:highlight w:val="yellow"/>
          <w:lang w:val="fr-CH"/>
        </w:rPr>
      </w:pPr>
    </w:p>
    <w:p w14:paraId="5151A553" w14:textId="77777777" w:rsidR="00663863" w:rsidRPr="00663863" w:rsidRDefault="00FD40A8">
      <w:pPr>
        <w:pStyle w:val="Verzeichnis1"/>
        <w:rPr>
          <w:rFonts w:asciiTheme="minorHAnsi" w:eastAsiaTheme="minorEastAsia" w:hAnsiTheme="minorHAnsi" w:cstheme="minorBidi"/>
          <w:bCs w:val="0"/>
          <w:caps w:val="0"/>
          <w:noProof/>
          <w:lang w:val="en-US" w:eastAsia="de-DE"/>
        </w:rPr>
      </w:pPr>
      <w:r w:rsidRPr="002D0D60">
        <w:rPr>
          <w:color w:val="3366FF"/>
          <w:highlight w:val="yellow"/>
        </w:rPr>
        <w:fldChar w:fldCharType="begin"/>
      </w:r>
      <w:r w:rsidRPr="002D0D60">
        <w:rPr>
          <w:color w:val="3366FF"/>
          <w:highlight w:val="yellow"/>
        </w:rPr>
        <w:instrText xml:space="preserve"> TOC \o "1-3" </w:instrText>
      </w:r>
      <w:r w:rsidRPr="002D0D60">
        <w:rPr>
          <w:color w:val="3366FF"/>
          <w:highlight w:val="yellow"/>
        </w:rPr>
        <w:fldChar w:fldCharType="separate"/>
      </w:r>
      <w:r w:rsidR="00663863" w:rsidRPr="00AB2BFA">
        <w:rPr>
          <w:noProof/>
        </w:rPr>
        <w:t>1</w:t>
      </w:r>
      <w:r w:rsidR="00663863" w:rsidRPr="00663863">
        <w:rPr>
          <w:rFonts w:asciiTheme="minorHAnsi" w:eastAsiaTheme="minorEastAsia" w:hAnsiTheme="minorHAnsi" w:cstheme="minorBidi"/>
          <w:bCs w:val="0"/>
          <w:caps w:val="0"/>
          <w:noProof/>
          <w:lang w:val="en-US" w:eastAsia="de-DE"/>
        </w:rPr>
        <w:tab/>
      </w:r>
      <w:r w:rsidR="00663863" w:rsidRPr="00AB2BFA">
        <w:rPr>
          <w:noProof/>
        </w:rPr>
        <w:t>RéSUMé DE NOTRE POSITION</w:t>
      </w:r>
      <w:r w:rsidR="00663863">
        <w:rPr>
          <w:noProof/>
        </w:rPr>
        <w:tab/>
      </w:r>
      <w:r w:rsidR="00663863">
        <w:rPr>
          <w:noProof/>
        </w:rPr>
        <w:fldChar w:fldCharType="begin"/>
      </w:r>
      <w:r w:rsidR="00663863">
        <w:rPr>
          <w:noProof/>
        </w:rPr>
        <w:instrText xml:space="preserve"> PAGEREF _Toc509959543 \h </w:instrText>
      </w:r>
      <w:r w:rsidR="00663863">
        <w:rPr>
          <w:noProof/>
        </w:rPr>
      </w:r>
      <w:r w:rsidR="00663863">
        <w:rPr>
          <w:noProof/>
        </w:rPr>
        <w:fldChar w:fldCharType="separate"/>
      </w:r>
      <w:r w:rsidR="00663863">
        <w:rPr>
          <w:noProof/>
        </w:rPr>
        <w:t>2</w:t>
      </w:r>
      <w:r w:rsidR="00663863">
        <w:rPr>
          <w:noProof/>
        </w:rPr>
        <w:fldChar w:fldCharType="end"/>
      </w:r>
    </w:p>
    <w:p w14:paraId="44404E06" w14:textId="77777777" w:rsidR="00663863" w:rsidRPr="00663863" w:rsidRDefault="00663863">
      <w:pPr>
        <w:pStyle w:val="Verzeichnis1"/>
        <w:rPr>
          <w:rFonts w:asciiTheme="minorHAnsi" w:eastAsiaTheme="minorEastAsia" w:hAnsiTheme="minorHAnsi" w:cstheme="minorBidi"/>
          <w:bCs w:val="0"/>
          <w:caps w:val="0"/>
          <w:noProof/>
          <w:lang w:val="en-US" w:eastAsia="de-DE"/>
        </w:rPr>
      </w:pPr>
      <w:r w:rsidRPr="00AB2BFA">
        <w:rPr>
          <w:noProof/>
        </w:rPr>
        <w:t>2</w:t>
      </w:r>
      <w:r w:rsidRPr="00663863">
        <w:rPr>
          <w:rFonts w:asciiTheme="minorHAnsi" w:eastAsiaTheme="minorEastAsia" w:hAnsiTheme="minorHAnsi" w:cstheme="minorBidi"/>
          <w:bCs w:val="0"/>
          <w:caps w:val="0"/>
          <w:noProof/>
          <w:lang w:val="en-US" w:eastAsia="de-DE"/>
        </w:rPr>
        <w:tab/>
      </w:r>
      <w:r w:rsidRPr="00AB2BFA">
        <w:rPr>
          <w:noProof/>
        </w:rPr>
        <w:t>THèME 1 : ANALYSE DE DéFAILLANCES ET MISE HORS SERVICE PROVISOIRE</w:t>
      </w:r>
      <w:r>
        <w:rPr>
          <w:noProof/>
        </w:rPr>
        <w:tab/>
      </w:r>
      <w:r>
        <w:rPr>
          <w:noProof/>
        </w:rPr>
        <w:fldChar w:fldCharType="begin"/>
      </w:r>
      <w:r>
        <w:rPr>
          <w:noProof/>
        </w:rPr>
        <w:instrText xml:space="preserve"> PAGEREF _Toc509959544 \h </w:instrText>
      </w:r>
      <w:r>
        <w:rPr>
          <w:noProof/>
        </w:rPr>
      </w:r>
      <w:r>
        <w:rPr>
          <w:noProof/>
        </w:rPr>
        <w:fldChar w:fldCharType="separate"/>
      </w:r>
      <w:r>
        <w:rPr>
          <w:noProof/>
        </w:rPr>
        <w:t>3</w:t>
      </w:r>
      <w:r>
        <w:rPr>
          <w:noProof/>
        </w:rPr>
        <w:fldChar w:fldCharType="end"/>
      </w:r>
    </w:p>
    <w:p w14:paraId="71FE1318" w14:textId="77777777" w:rsidR="00663863" w:rsidRPr="00663863" w:rsidRDefault="00663863">
      <w:pPr>
        <w:pStyle w:val="Verzeichnis2"/>
        <w:tabs>
          <w:tab w:val="left" w:pos="880"/>
          <w:tab w:val="right" w:leader="dot" w:pos="7305"/>
        </w:tabs>
        <w:rPr>
          <w:rFonts w:eastAsiaTheme="minorEastAsia" w:cstheme="minorBidi"/>
          <w:smallCaps w:val="0"/>
          <w:noProof/>
          <w:sz w:val="24"/>
          <w:szCs w:val="24"/>
          <w:lang w:val="en-US" w:eastAsia="de-DE"/>
        </w:rPr>
      </w:pPr>
      <w:r w:rsidRPr="00AB2BFA">
        <w:rPr>
          <w:noProof/>
          <w:lang w:val="fr-CH"/>
        </w:rPr>
        <w:t>2.1</w:t>
      </w:r>
      <w:r w:rsidRPr="00663863">
        <w:rPr>
          <w:rFonts w:eastAsiaTheme="minorEastAsia" w:cstheme="minorBidi"/>
          <w:smallCaps w:val="0"/>
          <w:noProof/>
          <w:sz w:val="24"/>
          <w:szCs w:val="24"/>
          <w:lang w:val="en-US" w:eastAsia="de-DE"/>
        </w:rPr>
        <w:tab/>
      </w:r>
      <w:r w:rsidRPr="00AB2BFA">
        <w:rPr>
          <w:noProof/>
          <w:lang w:val="fr-CH"/>
        </w:rPr>
        <w:t>DOSSIER DE CONSULTATION BIAIS</w:t>
      </w:r>
      <w:r w:rsidRPr="00AB2BFA">
        <w:rPr>
          <w:caps/>
          <w:noProof/>
          <w:lang w:val="fr-CH"/>
        </w:rPr>
        <w:t>é</w:t>
      </w:r>
      <w:r w:rsidRPr="00663863">
        <w:rPr>
          <w:noProof/>
          <w:lang w:val="en-US"/>
        </w:rPr>
        <w:tab/>
      </w:r>
      <w:r>
        <w:rPr>
          <w:noProof/>
        </w:rPr>
        <w:fldChar w:fldCharType="begin"/>
      </w:r>
      <w:r w:rsidRPr="00663863">
        <w:rPr>
          <w:noProof/>
          <w:lang w:val="en-US"/>
        </w:rPr>
        <w:instrText xml:space="preserve"> PAGEREF _Toc509959545 \h </w:instrText>
      </w:r>
      <w:r>
        <w:rPr>
          <w:noProof/>
        </w:rPr>
      </w:r>
      <w:r>
        <w:rPr>
          <w:noProof/>
        </w:rPr>
        <w:fldChar w:fldCharType="separate"/>
      </w:r>
      <w:r w:rsidRPr="00663863">
        <w:rPr>
          <w:noProof/>
          <w:lang w:val="en-US"/>
        </w:rPr>
        <w:t>3</w:t>
      </w:r>
      <w:r>
        <w:rPr>
          <w:noProof/>
        </w:rPr>
        <w:fldChar w:fldCharType="end"/>
      </w:r>
    </w:p>
    <w:p w14:paraId="3B2F7488" w14:textId="77777777" w:rsidR="00663863" w:rsidRPr="00663863" w:rsidRDefault="00663863">
      <w:pPr>
        <w:pStyle w:val="Verzeichnis2"/>
        <w:tabs>
          <w:tab w:val="left" w:pos="880"/>
          <w:tab w:val="right" w:leader="dot" w:pos="7305"/>
        </w:tabs>
        <w:rPr>
          <w:rFonts w:eastAsiaTheme="minorEastAsia" w:cstheme="minorBidi"/>
          <w:smallCaps w:val="0"/>
          <w:noProof/>
          <w:sz w:val="24"/>
          <w:szCs w:val="24"/>
          <w:lang w:val="en-US" w:eastAsia="de-DE"/>
        </w:rPr>
      </w:pPr>
      <w:r w:rsidRPr="00AB2BFA">
        <w:rPr>
          <w:noProof/>
          <w:lang w:val="fr-CH"/>
        </w:rPr>
        <w:t>2.2</w:t>
      </w:r>
      <w:r w:rsidRPr="00663863">
        <w:rPr>
          <w:rFonts w:eastAsiaTheme="minorEastAsia" w:cstheme="minorBidi"/>
          <w:smallCaps w:val="0"/>
          <w:noProof/>
          <w:sz w:val="24"/>
          <w:szCs w:val="24"/>
          <w:lang w:val="en-US" w:eastAsia="de-DE"/>
        </w:rPr>
        <w:tab/>
      </w:r>
      <w:r w:rsidRPr="00AB2BFA">
        <w:rPr>
          <w:noProof/>
          <w:lang w:val="fr-CH"/>
        </w:rPr>
        <w:t>CONTOURNEMENT PROBL</w:t>
      </w:r>
      <w:r w:rsidRPr="00AB2BFA">
        <w:rPr>
          <w:caps/>
          <w:noProof/>
          <w:lang w:val="fr-CH"/>
        </w:rPr>
        <w:t>é</w:t>
      </w:r>
      <w:r w:rsidRPr="00AB2BFA">
        <w:rPr>
          <w:noProof/>
          <w:lang w:val="fr-CH"/>
        </w:rPr>
        <w:t xml:space="preserve">MATIQUE </w:t>
      </w:r>
      <w:r w:rsidRPr="00AB2BFA">
        <w:rPr>
          <w:caps/>
          <w:noProof/>
          <w:lang w:val="fr-CH"/>
        </w:rPr>
        <w:t>DE L’État</w:t>
      </w:r>
      <w:r w:rsidRPr="00AB2BFA">
        <w:rPr>
          <w:noProof/>
          <w:lang w:val="fr-CH"/>
        </w:rPr>
        <w:t xml:space="preserve"> DE DROIT</w:t>
      </w:r>
      <w:r w:rsidRPr="00663863">
        <w:rPr>
          <w:noProof/>
          <w:lang w:val="en-US"/>
        </w:rPr>
        <w:tab/>
      </w:r>
      <w:r>
        <w:rPr>
          <w:noProof/>
        </w:rPr>
        <w:fldChar w:fldCharType="begin"/>
      </w:r>
      <w:r w:rsidRPr="00663863">
        <w:rPr>
          <w:noProof/>
          <w:lang w:val="en-US"/>
        </w:rPr>
        <w:instrText xml:space="preserve"> PAGEREF _Toc509959546 \h </w:instrText>
      </w:r>
      <w:r>
        <w:rPr>
          <w:noProof/>
        </w:rPr>
      </w:r>
      <w:r>
        <w:rPr>
          <w:noProof/>
        </w:rPr>
        <w:fldChar w:fldCharType="separate"/>
      </w:r>
      <w:r w:rsidRPr="00663863">
        <w:rPr>
          <w:noProof/>
          <w:lang w:val="en-US"/>
        </w:rPr>
        <w:t>5</w:t>
      </w:r>
      <w:r>
        <w:rPr>
          <w:noProof/>
        </w:rPr>
        <w:fldChar w:fldCharType="end"/>
      </w:r>
    </w:p>
    <w:p w14:paraId="26966624" w14:textId="77777777" w:rsidR="00663863" w:rsidRPr="00663863" w:rsidRDefault="00663863">
      <w:pPr>
        <w:pStyle w:val="Verzeichnis3"/>
        <w:tabs>
          <w:tab w:val="left" w:pos="1320"/>
          <w:tab w:val="right" w:leader="dot" w:pos="7305"/>
        </w:tabs>
        <w:rPr>
          <w:rFonts w:eastAsiaTheme="minorEastAsia" w:cstheme="minorBidi"/>
          <w:i w:val="0"/>
          <w:noProof/>
          <w:sz w:val="24"/>
          <w:szCs w:val="24"/>
          <w:lang w:val="en-US" w:eastAsia="de-DE"/>
        </w:rPr>
      </w:pPr>
      <w:r w:rsidRPr="00AB2BFA">
        <w:rPr>
          <w:noProof/>
          <w:lang w:val="fr-CH"/>
        </w:rPr>
        <w:t>2.2.1</w:t>
      </w:r>
      <w:r w:rsidRPr="00663863">
        <w:rPr>
          <w:rFonts w:eastAsiaTheme="minorEastAsia" w:cstheme="minorBidi"/>
          <w:i w:val="0"/>
          <w:noProof/>
          <w:sz w:val="24"/>
          <w:szCs w:val="24"/>
          <w:lang w:val="en-US" w:eastAsia="de-DE"/>
        </w:rPr>
        <w:tab/>
      </w:r>
      <w:r w:rsidRPr="00AB2BFA">
        <w:rPr>
          <w:noProof/>
          <w:lang w:val="fr-CH"/>
        </w:rPr>
        <w:t>Motivation insuffisante de la révision</w:t>
      </w:r>
      <w:r w:rsidRPr="00663863">
        <w:rPr>
          <w:noProof/>
          <w:lang w:val="en-US"/>
        </w:rPr>
        <w:tab/>
      </w:r>
      <w:r>
        <w:rPr>
          <w:noProof/>
        </w:rPr>
        <w:fldChar w:fldCharType="begin"/>
      </w:r>
      <w:r w:rsidRPr="00663863">
        <w:rPr>
          <w:noProof/>
          <w:lang w:val="en-US"/>
        </w:rPr>
        <w:instrText xml:space="preserve"> PAGEREF _Toc509959547 \h </w:instrText>
      </w:r>
      <w:r>
        <w:rPr>
          <w:noProof/>
        </w:rPr>
      </w:r>
      <w:r>
        <w:rPr>
          <w:noProof/>
        </w:rPr>
        <w:fldChar w:fldCharType="separate"/>
      </w:r>
      <w:r w:rsidRPr="00663863">
        <w:rPr>
          <w:noProof/>
          <w:lang w:val="en-US"/>
        </w:rPr>
        <w:t>5</w:t>
      </w:r>
      <w:r>
        <w:rPr>
          <w:noProof/>
        </w:rPr>
        <w:fldChar w:fldCharType="end"/>
      </w:r>
    </w:p>
    <w:p w14:paraId="72D939A8" w14:textId="77777777" w:rsidR="00663863" w:rsidRPr="00663863" w:rsidRDefault="00663863">
      <w:pPr>
        <w:pStyle w:val="Verzeichnis3"/>
        <w:tabs>
          <w:tab w:val="left" w:pos="1320"/>
          <w:tab w:val="right" w:leader="dot" w:pos="7305"/>
        </w:tabs>
        <w:rPr>
          <w:rFonts w:eastAsiaTheme="minorEastAsia" w:cstheme="minorBidi"/>
          <w:i w:val="0"/>
          <w:noProof/>
          <w:sz w:val="24"/>
          <w:szCs w:val="24"/>
          <w:lang w:val="en-US" w:eastAsia="de-DE"/>
        </w:rPr>
      </w:pPr>
      <w:r w:rsidRPr="00AB2BFA">
        <w:rPr>
          <w:noProof/>
          <w:lang w:val="fr-CH"/>
        </w:rPr>
        <w:t>2.2.2</w:t>
      </w:r>
      <w:r w:rsidRPr="00663863">
        <w:rPr>
          <w:rFonts w:eastAsiaTheme="minorEastAsia" w:cstheme="minorBidi"/>
          <w:i w:val="0"/>
          <w:noProof/>
          <w:sz w:val="24"/>
          <w:szCs w:val="24"/>
          <w:lang w:val="en-US" w:eastAsia="de-DE"/>
        </w:rPr>
        <w:tab/>
      </w:r>
      <w:r w:rsidRPr="00AB2BFA">
        <w:rPr>
          <w:noProof/>
          <w:lang w:val="fr-CH"/>
        </w:rPr>
        <w:t>Prise de position unilatérale du Conseil fédéral</w:t>
      </w:r>
      <w:r w:rsidRPr="00663863">
        <w:rPr>
          <w:noProof/>
          <w:lang w:val="en-US"/>
        </w:rPr>
        <w:tab/>
      </w:r>
      <w:r>
        <w:rPr>
          <w:noProof/>
        </w:rPr>
        <w:fldChar w:fldCharType="begin"/>
      </w:r>
      <w:r w:rsidRPr="00663863">
        <w:rPr>
          <w:noProof/>
          <w:lang w:val="en-US"/>
        </w:rPr>
        <w:instrText xml:space="preserve"> PAGEREF _Toc509959548 \h </w:instrText>
      </w:r>
      <w:r>
        <w:rPr>
          <w:noProof/>
        </w:rPr>
      </w:r>
      <w:r>
        <w:rPr>
          <w:noProof/>
        </w:rPr>
        <w:fldChar w:fldCharType="separate"/>
      </w:r>
      <w:r w:rsidRPr="00663863">
        <w:rPr>
          <w:noProof/>
          <w:lang w:val="en-US"/>
        </w:rPr>
        <w:t>5</w:t>
      </w:r>
      <w:r>
        <w:rPr>
          <w:noProof/>
        </w:rPr>
        <w:fldChar w:fldCharType="end"/>
      </w:r>
    </w:p>
    <w:p w14:paraId="1285E648" w14:textId="77777777" w:rsidR="00663863" w:rsidRPr="00663863" w:rsidRDefault="00663863">
      <w:pPr>
        <w:pStyle w:val="Verzeichnis3"/>
        <w:tabs>
          <w:tab w:val="left" w:pos="1320"/>
          <w:tab w:val="right" w:leader="dot" w:pos="7305"/>
        </w:tabs>
        <w:rPr>
          <w:rFonts w:eastAsiaTheme="minorEastAsia" w:cstheme="minorBidi"/>
          <w:i w:val="0"/>
          <w:noProof/>
          <w:sz w:val="24"/>
          <w:szCs w:val="24"/>
          <w:lang w:val="en-US" w:eastAsia="de-DE"/>
        </w:rPr>
      </w:pPr>
      <w:r w:rsidRPr="00AB2BFA">
        <w:rPr>
          <w:noProof/>
          <w:lang w:val="fr-CH"/>
        </w:rPr>
        <w:t>2.2.3</w:t>
      </w:r>
      <w:r w:rsidRPr="00663863">
        <w:rPr>
          <w:rFonts w:eastAsiaTheme="minorEastAsia" w:cstheme="minorBidi"/>
          <w:i w:val="0"/>
          <w:noProof/>
          <w:sz w:val="24"/>
          <w:szCs w:val="24"/>
          <w:lang w:val="en-US" w:eastAsia="de-DE"/>
        </w:rPr>
        <w:tab/>
      </w:r>
      <w:r w:rsidRPr="00AB2BFA">
        <w:rPr>
          <w:noProof/>
          <w:lang w:val="fr-CH"/>
        </w:rPr>
        <w:t>Pratique inconsistante et dépassée de l’ISFN</w:t>
      </w:r>
      <w:r w:rsidRPr="00663863">
        <w:rPr>
          <w:noProof/>
          <w:lang w:val="en-US"/>
        </w:rPr>
        <w:tab/>
      </w:r>
      <w:r>
        <w:rPr>
          <w:noProof/>
        </w:rPr>
        <w:fldChar w:fldCharType="begin"/>
      </w:r>
      <w:r w:rsidRPr="00663863">
        <w:rPr>
          <w:noProof/>
          <w:lang w:val="en-US"/>
        </w:rPr>
        <w:instrText xml:space="preserve"> PAGEREF _Toc509959549 \h </w:instrText>
      </w:r>
      <w:r>
        <w:rPr>
          <w:noProof/>
        </w:rPr>
      </w:r>
      <w:r>
        <w:rPr>
          <w:noProof/>
        </w:rPr>
        <w:fldChar w:fldCharType="separate"/>
      </w:r>
      <w:r w:rsidRPr="00663863">
        <w:rPr>
          <w:noProof/>
          <w:lang w:val="en-US"/>
        </w:rPr>
        <w:t>6</w:t>
      </w:r>
      <w:r>
        <w:rPr>
          <w:noProof/>
        </w:rPr>
        <w:fldChar w:fldCharType="end"/>
      </w:r>
    </w:p>
    <w:p w14:paraId="35E02290" w14:textId="77777777" w:rsidR="00663863" w:rsidRPr="00663863" w:rsidRDefault="00663863">
      <w:pPr>
        <w:pStyle w:val="Verzeichnis2"/>
        <w:tabs>
          <w:tab w:val="left" w:pos="880"/>
          <w:tab w:val="right" w:leader="dot" w:pos="7305"/>
        </w:tabs>
        <w:rPr>
          <w:rFonts w:eastAsiaTheme="minorEastAsia" w:cstheme="minorBidi"/>
          <w:smallCaps w:val="0"/>
          <w:noProof/>
          <w:sz w:val="24"/>
          <w:szCs w:val="24"/>
          <w:lang w:val="en-US" w:eastAsia="de-DE"/>
        </w:rPr>
      </w:pPr>
      <w:r w:rsidRPr="00AB2BFA">
        <w:rPr>
          <w:noProof/>
          <w:lang w:val="fr-CH"/>
        </w:rPr>
        <w:t>2.3</w:t>
      </w:r>
      <w:r w:rsidRPr="00663863">
        <w:rPr>
          <w:rFonts w:eastAsiaTheme="minorEastAsia" w:cstheme="minorBidi"/>
          <w:smallCaps w:val="0"/>
          <w:noProof/>
          <w:sz w:val="24"/>
          <w:szCs w:val="24"/>
          <w:lang w:val="en-US" w:eastAsia="de-DE"/>
        </w:rPr>
        <w:tab/>
      </w:r>
      <w:r w:rsidRPr="00AB2BFA">
        <w:rPr>
          <w:noProof/>
          <w:lang w:val="fr-CH"/>
        </w:rPr>
        <w:t>AFFAIBLISSEMENT DE LA PROTECTION DE LA POPULATION CONTRE LE RISQUE NUCL</w:t>
      </w:r>
      <w:r w:rsidRPr="00AB2BFA">
        <w:rPr>
          <w:caps/>
          <w:noProof/>
          <w:lang w:val="fr-CH"/>
        </w:rPr>
        <w:t>é</w:t>
      </w:r>
      <w:r w:rsidRPr="00AB2BFA">
        <w:rPr>
          <w:noProof/>
          <w:lang w:val="fr-CH"/>
        </w:rPr>
        <w:t>AIRE</w:t>
      </w:r>
      <w:r w:rsidRPr="00663863">
        <w:rPr>
          <w:noProof/>
          <w:lang w:val="en-US"/>
        </w:rPr>
        <w:tab/>
      </w:r>
      <w:r>
        <w:rPr>
          <w:noProof/>
        </w:rPr>
        <w:fldChar w:fldCharType="begin"/>
      </w:r>
      <w:r w:rsidRPr="00663863">
        <w:rPr>
          <w:noProof/>
          <w:lang w:val="en-US"/>
        </w:rPr>
        <w:instrText xml:space="preserve"> PAGEREF _Toc509959550 \h </w:instrText>
      </w:r>
      <w:r>
        <w:rPr>
          <w:noProof/>
        </w:rPr>
      </w:r>
      <w:r>
        <w:rPr>
          <w:noProof/>
        </w:rPr>
        <w:fldChar w:fldCharType="separate"/>
      </w:r>
      <w:r w:rsidRPr="00663863">
        <w:rPr>
          <w:noProof/>
          <w:lang w:val="en-US"/>
        </w:rPr>
        <w:t>8</w:t>
      </w:r>
      <w:r>
        <w:rPr>
          <w:noProof/>
        </w:rPr>
        <w:fldChar w:fldCharType="end"/>
      </w:r>
    </w:p>
    <w:p w14:paraId="729AAFF2" w14:textId="77777777" w:rsidR="00663863" w:rsidRPr="00663863" w:rsidRDefault="00663863">
      <w:pPr>
        <w:pStyle w:val="Verzeichnis3"/>
        <w:tabs>
          <w:tab w:val="left" w:pos="1320"/>
          <w:tab w:val="right" w:leader="dot" w:pos="7305"/>
        </w:tabs>
        <w:rPr>
          <w:rFonts w:eastAsiaTheme="minorEastAsia" w:cstheme="minorBidi"/>
          <w:i w:val="0"/>
          <w:noProof/>
          <w:sz w:val="24"/>
          <w:szCs w:val="24"/>
          <w:lang w:val="en-US" w:eastAsia="de-DE"/>
        </w:rPr>
      </w:pPr>
      <w:r w:rsidRPr="00AB2BFA">
        <w:rPr>
          <w:noProof/>
          <w:lang w:val="fr-CH"/>
        </w:rPr>
        <w:t>2.3.1</w:t>
      </w:r>
      <w:r w:rsidRPr="00663863">
        <w:rPr>
          <w:rFonts w:eastAsiaTheme="minorEastAsia" w:cstheme="minorBidi"/>
          <w:i w:val="0"/>
          <w:noProof/>
          <w:sz w:val="24"/>
          <w:szCs w:val="24"/>
          <w:lang w:val="en-US" w:eastAsia="de-DE"/>
        </w:rPr>
        <w:tab/>
      </w:r>
      <w:r w:rsidRPr="00AB2BFA">
        <w:rPr>
          <w:noProof/>
          <w:lang w:val="fr-CH"/>
        </w:rPr>
        <w:t>Importance capitale des critères de mise hors service</w:t>
      </w:r>
      <w:r w:rsidRPr="00663863">
        <w:rPr>
          <w:noProof/>
          <w:lang w:val="en-US"/>
        </w:rPr>
        <w:tab/>
      </w:r>
      <w:r>
        <w:rPr>
          <w:noProof/>
        </w:rPr>
        <w:fldChar w:fldCharType="begin"/>
      </w:r>
      <w:r w:rsidRPr="00663863">
        <w:rPr>
          <w:noProof/>
          <w:lang w:val="en-US"/>
        </w:rPr>
        <w:instrText xml:space="preserve"> PAGEREF _Toc509959551 \h </w:instrText>
      </w:r>
      <w:r>
        <w:rPr>
          <w:noProof/>
        </w:rPr>
      </w:r>
      <w:r>
        <w:rPr>
          <w:noProof/>
        </w:rPr>
        <w:fldChar w:fldCharType="separate"/>
      </w:r>
      <w:r w:rsidRPr="00663863">
        <w:rPr>
          <w:noProof/>
          <w:lang w:val="en-US"/>
        </w:rPr>
        <w:t>8</w:t>
      </w:r>
      <w:r>
        <w:rPr>
          <w:noProof/>
        </w:rPr>
        <w:fldChar w:fldCharType="end"/>
      </w:r>
    </w:p>
    <w:p w14:paraId="335CDB9D" w14:textId="77777777" w:rsidR="00663863" w:rsidRPr="00663863" w:rsidRDefault="00663863">
      <w:pPr>
        <w:pStyle w:val="Verzeichnis3"/>
        <w:tabs>
          <w:tab w:val="left" w:pos="1320"/>
          <w:tab w:val="right" w:leader="dot" w:pos="7305"/>
        </w:tabs>
        <w:rPr>
          <w:rFonts w:eastAsiaTheme="minorEastAsia" w:cstheme="minorBidi"/>
          <w:i w:val="0"/>
          <w:noProof/>
          <w:sz w:val="24"/>
          <w:szCs w:val="24"/>
          <w:lang w:val="en-US" w:eastAsia="de-DE"/>
        </w:rPr>
      </w:pPr>
      <w:r w:rsidRPr="00AB2BFA">
        <w:rPr>
          <w:noProof/>
          <w:lang w:val="fr-CH"/>
        </w:rPr>
        <w:t>2.3.2</w:t>
      </w:r>
      <w:r w:rsidRPr="00663863">
        <w:rPr>
          <w:rFonts w:eastAsiaTheme="minorEastAsia" w:cstheme="minorBidi"/>
          <w:i w:val="0"/>
          <w:noProof/>
          <w:sz w:val="24"/>
          <w:szCs w:val="24"/>
          <w:lang w:val="en-US" w:eastAsia="de-DE"/>
        </w:rPr>
        <w:tab/>
      </w:r>
      <w:r w:rsidRPr="00AB2BFA">
        <w:rPr>
          <w:noProof/>
          <w:lang w:val="fr-CH"/>
        </w:rPr>
        <w:t>Premier affaiblissement : réduction des critères radiologiques de mise hors service</w:t>
      </w:r>
      <w:r w:rsidRPr="00663863">
        <w:rPr>
          <w:noProof/>
          <w:lang w:val="en-US"/>
        </w:rPr>
        <w:tab/>
      </w:r>
      <w:r>
        <w:rPr>
          <w:noProof/>
        </w:rPr>
        <w:fldChar w:fldCharType="begin"/>
      </w:r>
      <w:r w:rsidRPr="00663863">
        <w:rPr>
          <w:noProof/>
          <w:lang w:val="en-US"/>
        </w:rPr>
        <w:instrText xml:space="preserve"> PAGEREF _Toc509959552 \h </w:instrText>
      </w:r>
      <w:r>
        <w:rPr>
          <w:noProof/>
        </w:rPr>
      </w:r>
      <w:r>
        <w:rPr>
          <w:noProof/>
        </w:rPr>
        <w:fldChar w:fldCharType="separate"/>
      </w:r>
      <w:r w:rsidRPr="00663863">
        <w:rPr>
          <w:noProof/>
          <w:lang w:val="en-US"/>
        </w:rPr>
        <w:t>9</w:t>
      </w:r>
      <w:r>
        <w:rPr>
          <w:noProof/>
        </w:rPr>
        <w:fldChar w:fldCharType="end"/>
      </w:r>
    </w:p>
    <w:p w14:paraId="0C61E3E4" w14:textId="77777777" w:rsidR="00663863" w:rsidRPr="00663863" w:rsidRDefault="00663863">
      <w:pPr>
        <w:pStyle w:val="Verzeichnis3"/>
        <w:tabs>
          <w:tab w:val="left" w:pos="1320"/>
          <w:tab w:val="right" w:leader="dot" w:pos="7305"/>
        </w:tabs>
        <w:rPr>
          <w:rFonts w:eastAsiaTheme="minorEastAsia" w:cstheme="minorBidi"/>
          <w:i w:val="0"/>
          <w:noProof/>
          <w:sz w:val="24"/>
          <w:szCs w:val="24"/>
          <w:lang w:val="en-US" w:eastAsia="de-DE"/>
        </w:rPr>
      </w:pPr>
      <w:r w:rsidRPr="00AB2BFA">
        <w:rPr>
          <w:noProof/>
          <w:lang w:val="fr-CH"/>
        </w:rPr>
        <w:t>2.3.3</w:t>
      </w:r>
      <w:r w:rsidRPr="00663863">
        <w:rPr>
          <w:rFonts w:eastAsiaTheme="minorEastAsia" w:cstheme="minorBidi"/>
          <w:i w:val="0"/>
          <w:noProof/>
          <w:sz w:val="24"/>
          <w:szCs w:val="24"/>
          <w:lang w:val="en-US" w:eastAsia="de-DE"/>
        </w:rPr>
        <w:tab/>
      </w:r>
      <w:r w:rsidRPr="00AB2BFA">
        <w:rPr>
          <w:noProof/>
          <w:lang w:val="fr-CH"/>
        </w:rPr>
        <w:t>Deuxième affaiblissement : relèvement de la dose de radiation admissible pour la population en cas d’événement survenant tous les 10 000 ans</w:t>
      </w:r>
      <w:r w:rsidRPr="00663863">
        <w:rPr>
          <w:noProof/>
          <w:lang w:val="en-US"/>
        </w:rPr>
        <w:tab/>
      </w:r>
      <w:r>
        <w:rPr>
          <w:noProof/>
        </w:rPr>
        <w:fldChar w:fldCharType="begin"/>
      </w:r>
      <w:r w:rsidRPr="00663863">
        <w:rPr>
          <w:noProof/>
          <w:lang w:val="en-US"/>
        </w:rPr>
        <w:instrText xml:space="preserve"> PAGEREF _Toc509959553 \h </w:instrText>
      </w:r>
      <w:r>
        <w:rPr>
          <w:noProof/>
        </w:rPr>
      </w:r>
      <w:r>
        <w:rPr>
          <w:noProof/>
        </w:rPr>
        <w:fldChar w:fldCharType="separate"/>
      </w:r>
      <w:r w:rsidRPr="00663863">
        <w:rPr>
          <w:noProof/>
          <w:lang w:val="en-US"/>
        </w:rPr>
        <w:t>10</w:t>
      </w:r>
      <w:r>
        <w:rPr>
          <w:noProof/>
        </w:rPr>
        <w:fldChar w:fldCharType="end"/>
      </w:r>
    </w:p>
    <w:p w14:paraId="22704ABE" w14:textId="77777777" w:rsidR="00663863" w:rsidRPr="00663863" w:rsidRDefault="00663863">
      <w:pPr>
        <w:pStyle w:val="Verzeichnis3"/>
        <w:tabs>
          <w:tab w:val="left" w:pos="1320"/>
          <w:tab w:val="right" w:leader="dot" w:pos="7305"/>
        </w:tabs>
        <w:rPr>
          <w:rFonts w:eastAsiaTheme="minorEastAsia" w:cstheme="minorBidi"/>
          <w:i w:val="0"/>
          <w:noProof/>
          <w:sz w:val="24"/>
          <w:szCs w:val="24"/>
          <w:lang w:val="en-US" w:eastAsia="de-DE"/>
        </w:rPr>
      </w:pPr>
      <w:r w:rsidRPr="00AB2BFA">
        <w:rPr>
          <w:noProof/>
          <w:lang w:val="fr-CH"/>
        </w:rPr>
        <w:t>2.3.4</w:t>
      </w:r>
      <w:r w:rsidRPr="00663863">
        <w:rPr>
          <w:rFonts w:eastAsiaTheme="minorEastAsia" w:cstheme="minorBidi"/>
          <w:i w:val="0"/>
          <w:noProof/>
          <w:sz w:val="24"/>
          <w:szCs w:val="24"/>
          <w:lang w:val="en-US" w:eastAsia="de-DE"/>
        </w:rPr>
        <w:tab/>
      </w:r>
      <w:r w:rsidRPr="00AB2BFA">
        <w:rPr>
          <w:noProof/>
          <w:lang w:val="fr-CH"/>
        </w:rPr>
        <w:t>Troisième affaiblissement : suppression de l’examen d’événements naturels très rares</w:t>
      </w:r>
      <w:r w:rsidRPr="00663863">
        <w:rPr>
          <w:noProof/>
          <w:lang w:val="en-US"/>
        </w:rPr>
        <w:tab/>
      </w:r>
      <w:r>
        <w:rPr>
          <w:noProof/>
        </w:rPr>
        <w:fldChar w:fldCharType="begin"/>
      </w:r>
      <w:r w:rsidRPr="00663863">
        <w:rPr>
          <w:noProof/>
          <w:lang w:val="en-US"/>
        </w:rPr>
        <w:instrText xml:space="preserve"> PAGEREF _Toc509959554 \h </w:instrText>
      </w:r>
      <w:r>
        <w:rPr>
          <w:noProof/>
        </w:rPr>
      </w:r>
      <w:r>
        <w:rPr>
          <w:noProof/>
        </w:rPr>
        <w:fldChar w:fldCharType="separate"/>
      </w:r>
      <w:r w:rsidRPr="00663863">
        <w:rPr>
          <w:noProof/>
          <w:lang w:val="en-US"/>
        </w:rPr>
        <w:t>10</w:t>
      </w:r>
      <w:r>
        <w:rPr>
          <w:noProof/>
        </w:rPr>
        <w:fldChar w:fldCharType="end"/>
      </w:r>
    </w:p>
    <w:p w14:paraId="48F0153E" w14:textId="77777777" w:rsidR="00663863" w:rsidRPr="00663863" w:rsidRDefault="00663863">
      <w:pPr>
        <w:pStyle w:val="Verzeichnis3"/>
        <w:tabs>
          <w:tab w:val="left" w:pos="1320"/>
          <w:tab w:val="right" w:leader="dot" w:pos="7305"/>
        </w:tabs>
        <w:rPr>
          <w:rFonts w:eastAsiaTheme="minorEastAsia" w:cstheme="minorBidi"/>
          <w:i w:val="0"/>
          <w:noProof/>
          <w:sz w:val="24"/>
          <w:szCs w:val="24"/>
          <w:lang w:val="en-US" w:eastAsia="de-DE"/>
        </w:rPr>
      </w:pPr>
      <w:r w:rsidRPr="00AB2BFA">
        <w:rPr>
          <w:noProof/>
          <w:lang w:val="fr-CH"/>
        </w:rPr>
        <w:t>2.3.5</w:t>
      </w:r>
      <w:r w:rsidRPr="00663863">
        <w:rPr>
          <w:rFonts w:eastAsiaTheme="minorEastAsia" w:cstheme="minorBidi"/>
          <w:i w:val="0"/>
          <w:noProof/>
          <w:sz w:val="24"/>
          <w:szCs w:val="24"/>
          <w:lang w:val="en-US" w:eastAsia="de-DE"/>
        </w:rPr>
        <w:tab/>
      </w:r>
      <w:r w:rsidRPr="00AB2BFA">
        <w:rPr>
          <w:noProof/>
          <w:lang w:val="fr-CH"/>
        </w:rPr>
        <w:t>Quatrième affaiblissement : limitation des critères de mise hors service au refroidissement du cœur</w:t>
      </w:r>
      <w:r w:rsidRPr="00663863">
        <w:rPr>
          <w:noProof/>
          <w:lang w:val="en-US"/>
        </w:rPr>
        <w:tab/>
      </w:r>
      <w:r>
        <w:rPr>
          <w:noProof/>
        </w:rPr>
        <w:fldChar w:fldCharType="begin"/>
      </w:r>
      <w:r w:rsidRPr="00663863">
        <w:rPr>
          <w:noProof/>
          <w:lang w:val="en-US"/>
        </w:rPr>
        <w:instrText xml:space="preserve"> PAGEREF _Toc509959555 \h </w:instrText>
      </w:r>
      <w:r>
        <w:rPr>
          <w:noProof/>
        </w:rPr>
      </w:r>
      <w:r>
        <w:rPr>
          <w:noProof/>
        </w:rPr>
        <w:fldChar w:fldCharType="separate"/>
      </w:r>
      <w:r w:rsidRPr="00663863">
        <w:rPr>
          <w:noProof/>
          <w:lang w:val="en-US"/>
        </w:rPr>
        <w:t>11</w:t>
      </w:r>
      <w:r>
        <w:rPr>
          <w:noProof/>
        </w:rPr>
        <w:fldChar w:fldCharType="end"/>
      </w:r>
    </w:p>
    <w:p w14:paraId="3D6BCA88" w14:textId="77777777" w:rsidR="00663863" w:rsidRPr="00663863" w:rsidRDefault="00663863">
      <w:pPr>
        <w:pStyle w:val="Verzeichnis3"/>
        <w:tabs>
          <w:tab w:val="left" w:pos="1320"/>
          <w:tab w:val="right" w:leader="dot" w:pos="7305"/>
        </w:tabs>
        <w:rPr>
          <w:rFonts w:eastAsiaTheme="minorEastAsia" w:cstheme="minorBidi"/>
          <w:i w:val="0"/>
          <w:noProof/>
          <w:sz w:val="24"/>
          <w:szCs w:val="24"/>
          <w:lang w:val="en-US" w:eastAsia="de-DE"/>
        </w:rPr>
      </w:pPr>
      <w:r w:rsidRPr="00AB2BFA">
        <w:rPr>
          <w:noProof/>
          <w:lang w:val="fr-CH"/>
        </w:rPr>
        <w:t>2.3.6</w:t>
      </w:r>
      <w:r w:rsidRPr="00663863">
        <w:rPr>
          <w:rFonts w:eastAsiaTheme="minorEastAsia" w:cstheme="minorBidi"/>
          <w:i w:val="0"/>
          <w:noProof/>
          <w:sz w:val="24"/>
          <w:szCs w:val="24"/>
          <w:lang w:val="en-US" w:eastAsia="de-DE"/>
        </w:rPr>
        <w:tab/>
      </w:r>
      <w:r w:rsidRPr="00AB2BFA">
        <w:rPr>
          <w:noProof/>
          <w:lang w:val="fr-CH"/>
        </w:rPr>
        <w:t>Présentation graphique des affaiblissements par une matrice des risques</w:t>
      </w:r>
      <w:r w:rsidRPr="00663863">
        <w:rPr>
          <w:noProof/>
          <w:lang w:val="en-US"/>
        </w:rPr>
        <w:tab/>
      </w:r>
      <w:r>
        <w:rPr>
          <w:noProof/>
        </w:rPr>
        <w:fldChar w:fldCharType="begin"/>
      </w:r>
      <w:r w:rsidRPr="00663863">
        <w:rPr>
          <w:noProof/>
          <w:lang w:val="en-US"/>
        </w:rPr>
        <w:instrText xml:space="preserve"> PAGEREF _Toc509959556 \h </w:instrText>
      </w:r>
      <w:r>
        <w:rPr>
          <w:noProof/>
        </w:rPr>
      </w:r>
      <w:r>
        <w:rPr>
          <w:noProof/>
        </w:rPr>
        <w:fldChar w:fldCharType="separate"/>
      </w:r>
      <w:r w:rsidRPr="00663863">
        <w:rPr>
          <w:noProof/>
          <w:lang w:val="en-US"/>
        </w:rPr>
        <w:t>12</w:t>
      </w:r>
      <w:r>
        <w:rPr>
          <w:noProof/>
        </w:rPr>
        <w:fldChar w:fldCharType="end"/>
      </w:r>
    </w:p>
    <w:p w14:paraId="6B45A988" w14:textId="77777777" w:rsidR="00663863" w:rsidRPr="00663863" w:rsidRDefault="00663863">
      <w:pPr>
        <w:pStyle w:val="Verzeichnis3"/>
        <w:tabs>
          <w:tab w:val="left" w:pos="1320"/>
          <w:tab w:val="right" w:leader="dot" w:pos="7305"/>
        </w:tabs>
        <w:rPr>
          <w:rFonts w:eastAsiaTheme="minorEastAsia" w:cstheme="minorBidi"/>
          <w:i w:val="0"/>
          <w:noProof/>
          <w:sz w:val="24"/>
          <w:szCs w:val="24"/>
          <w:lang w:val="en-US" w:eastAsia="de-DE"/>
        </w:rPr>
      </w:pPr>
      <w:r w:rsidRPr="00AB2BFA">
        <w:rPr>
          <w:noProof/>
          <w:lang w:val="fr-CH"/>
        </w:rPr>
        <w:t>2.3.7</w:t>
      </w:r>
      <w:r w:rsidRPr="00663863">
        <w:rPr>
          <w:rFonts w:eastAsiaTheme="minorEastAsia" w:cstheme="minorBidi"/>
          <w:i w:val="0"/>
          <w:noProof/>
          <w:sz w:val="24"/>
          <w:szCs w:val="24"/>
          <w:lang w:val="en-US" w:eastAsia="de-DE"/>
        </w:rPr>
        <w:tab/>
      </w:r>
      <w:r w:rsidRPr="00AB2BFA">
        <w:rPr>
          <w:noProof/>
          <w:lang w:val="fr-CH"/>
        </w:rPr>
        <w:t>Exposition radiologique potentielle inadmissible</w:t>
      </w:r>
      <w:r w:rsidRPr="00663863">
        <w:rPr>
          <w:noProof/>
          <w:lang w:val="en-US"/>
        </w:rPr>
        <w:tab/>
      </w:r>
      <w:r>
        <w:rPr>
          <w:noProof/>
        </w:rPr>
        <w:fldChar w:fldCharType="begin"/>
      </w:r>
      <w:r w:rsidRPr="00663863">
        <w:rPr>
          <w:noProof/>
          <w:lang w:val="en-US"/>
        </w:rPr>
        <w:instrText xml:space="preserve"> PAGEREF _Toc509959557 \h </w:instrText>
      </w:r>
      <w:r>
        <w:rPr>
          <w:noProof/>
        </w:rPr>
      </w:r>
      <w:r>
        <w:rPr>
          <w:noProof/>
        </w:rPr>
        <w:fldChar w:fldCharType="separate"/>
      </w:r>
      <w:r w:rsidRPr="00663863">
        <w:rPr>
          <w:noProof/>
          <w:lang w:val="en-US"/>
        </w:rPr>
        <w:t>16</w:t>
      </w:r>
      <w:r>
        <w:rPr>
          <w:noProof/>
        </w:rPr>
        <w:fldChar w:fldCharType="end"/>
      </w:r>
    </w:p>
    <w:p w14:paraId="6A85B659" w14:textId="77777777" w:rsidR="00663863" w:rsidRPr="00663863" w:rsidRDefault="00663863">
      <w:pPr>
        <w:pStyle w:val="Verzeichnis2"/>
        <w:tabs>
          <w:tab w:val="left" w:pos="880"/>
          <w:tab w:val="right" w:leader="dot" w:pos="7305"/>
        </w:tabs>
        <w:rPr>
          <w:rFonts w:eastAsiaTheme="minorEastAsia" w:cstheme="minorBidi"/>
          <w:smallCaps w:val="0"/>
          <w:noProof/>
          <w:sz w:val="24"/>
          <w:szCs w:val="24"/>
          <w:lang w:val="en-US" w:eastAsia="de-DE"/>
        </w:rPr>
      </w:pPr>
      <w:r w:rsidRPr="00AB2BFA">
        <w:rPr>
          <w:noProof/>
          <w:lang w:val="fr-CH"/>
        </w:rPr>
        <w:t>2.4</w:t>
      </w:r>
      <w:r w:rsidRPr="00663863">
        <w:rPr>
          <w:rFonts w:eastAsiaTheme="minorEastAsia" w:cstheme="minorBidi"/>
          <w:smallCaps w:val="0"/>
          <w:noProof/>
          <w:sz w:val="24"/>
          <w:szCs w:val="24"/>
          <w:lang w:val="en-US" w:eastAsia="de-DE"/>
        </w:rPr>
        <w:tab/>
      </w:r>
      <w:r w:rsidRPr="00AB2BFA">
        <w:rPr>
          <w:noProof/>
          <w:lang w:val="fr-CH"/>
        </w:rPr>
        <w:t>CONCLUSION</w:t>
      </w:r>
      <w:r w:rsidRPr="00663863">
        <w:rPr>
          <w:noProof/>
          <w:lang w:val="en-US"/>
        </w:rPr>
        <w:tab/>
      </w:r>
      <w:r>
        <w:rPr>
          <w:noProof/>
        </w:rPr>
        <w:fldChar w:fldCharType="begin"/>
      </w:r>
      <w:r w:rsidRPr="00663863">
        <w:rPr>
          <w:noProof/>
          <w:lang w:val="en-US"/>
        </w:rPr>
        <w:instrText xml:space="preserve"> PAGEREF _Toc509959558 \h </w:instrText>
      </w:r>
      <w:r>
        <w:rPr>
          <w:noProof/>
        </w:rPr>
      </w:r>
      <w:r>
        <w:rPr>
          <w:noProof/>
        </w:rPr>
        <w:fldChar w:fldCharType="separate"/>
      </w:r>
      <w:r w:rsidRPr="00663863">
        <w:rPr>
          <w:noProof/>
          <w:lang w:val="en-US"/>
        </w:rPr>
        <w:t>18</w:t>
      </w:r>
      <w:r>
        <w:rPr>
          <w:noProof/>
        </w:rPr>
        <w:fldChar w:fldCharType="end"/>
      </w:r>
    </w:p>
    <w:p w14:paraId="26B15C8F" w14:textId="77777777" w:rsidR="00663863" w:rsidRPr="00663863" w:rsidRDefault="00663863">
      <w:pPr>
        <w:pStyle w:val="Verzeichnis1"/>
        <w:rPr>
          <w:rFonts w:asciiTheme="minorHAnsi" w:eastAsiaTheme="minorEastAsia" w:hAnsiTheme="minorHAnsi" w:cstheme="minorBidi"/>
          <w:bCs w:val="0"/>
          <w:caps w:val="0"/>
          <w:noProof/>
          <w:lang w:val="en-US" w:eastAsia="de-DE"/>
        </w:rPr>
      </w:pPr>
      <w:r w:rsidRPr="00AB2BFA">
        <w:rPr>
          <w:noProof/>
        </w:rPr>
        <w:t>3</w:t>
      </w:r>
      <w:r w:rsidRPr="00663863">
        <w:rPr>
          <w:rFonts w:asciiTheme="minorHAnsi" w:eastAsiaTheme="minorEastAsia" w:hAnsiTheme="minorHAnsi" w:cstheme="minorBidi"/>
          <w:bCs w:val="0"/>
          <w:caps w:val="0"/>
          <w:noProof/>
          <w:lang w:val="en-US" w:eastAsia="de-DE"/>
        </w:rPr>
        <w:tab/>
      </w:r>
      <w:r w:rsidRPr="00AB2BFA">
        <w:rPr>
          <w:noProof/>
        </w:rPr>
        <w:t>THèME 2 : STOCKAGE POUR DéCROISSANCE</w:t>
      </w:r>
      <w:r>
        <w:rPr>
          <w:noProof/>
        </w:rPr>
        <w:tab/>
      </w:r>
      <w:r>
        <w:rPr>
          <w:noProof/>
        </w:rPr>
        <w:fldChar w:fldCharType="begin"/>
      </w:r>
      <w:r>
        <w:rPr>
          <w:noProof/>
        </w:rPr>
        <w:instrText xml:space="preserve"> PAGEREF _Toc509959559 \h </w:instrText>
      </w:r>
      <w:r>
        <w:rPr>
          <w:noProof/>
        </w:rPr>
      </w:r>
      <w:r>
        <w:rPr>
          <w:noProof/>
        </w:rPr>
        <w:fldChar w:fldCharType="separate"/>
      </w:r>
      <w:r>
        <w:rPr>
          <w:noProof/>
        </w:rPr>
        <w:t>19</w:t>
      </w:r>
      <w:r>
        <w:rPr>
          <w:noProof/>
        </w:rPr>
        <w:fldChar w:fldCharType="end"/>
      </w:r>
    </w:p>
    <w:p w14:paraId="7D38A6D2" w14:textId="77777777" w:rsidR="00663863" w:rsidRPr="00663863" w:rsidRDefault="00663863">
      <w:pPr>
        <w:pStyle w:val="Verzeichnis2"/>
        <w:tabs>
          <w:tab w:val="left" w:pos="880"/>
          <w:tab w:val="right" w:leader="dot" w:pos="7305"/>
        </w:tabs>
        <w:rPr>
          <w:rFonts w:eastAsiaTheme="minorEastAsia" w:cstheme="minorBidi"/>
          <w:smallCaps w:val="0"/>
          <w:noProof/>
          <w:sz w:val="24"/>
          <w:szCs w:val="24"/>
          <w:lang w:val="en-US" w:eastAsia="de-DE"/>
        </w:rPr>
      </w:pPr>
      <w:r w:rsidRPr="00AB2BFA">
        <w:rPr>
          <w:noProof/>
          <w:lang w:val="fr-CH"/>
        </w:rPr>
        <w:t>3.1</w:t>
      </w:r>
      <w:r w:rsidRPr="00663863">
        <w:rPr>
          <w:rFonts w:eastAsiaTheme="minorEastAsia" w:cstheme="minorBidi"/>
          <w:smallCaps w:val="0"/>
          <w:noProof/>
          <w:sz w:val="24"/>
          <w:szCs w:val="24"/>
          <w:lang w:val="en-US" w:eastAsia="de-DE"/>
        </w:rPr>
        <w:tab/>
      </w:r>
      <w:r w:rsidRPr="00AB2BFA">
        <w:rPr>
          <w:noProof/>
          <w:lang w:val="fr-CH"/>
        </w:rPr>
        <w:t>OBLIGATION DE PROUVER LES AVANTAGES DU STOCKAGE POUR DÉCROISSANCE HORS DES INSTALLATIONS NUCLÉAIRES</w:t>
      </w:r>
      <w:r w:rsidRPr="00663863">
        <w:rPr>
          <w:noProof/>
          <w:lang w:val="en-US"/>
        </w:rPr>
        <w:tab/>
      </w:r>
      <w:r>
        <w:rPr>
          <w:noProof/>
        </w:rPr>
        <w:fldChar w:fldCharType="begin"/>
      </w:r>
      <w:r w:rsidRPr="00663863">
        <w:rPr>
          <w:noProof/>
          <w:lang w:val="en-US"/>
        </w:rPr>
        <w:instrText xml:space="preserve"> PAGEREF _Toc509959560 \h </w:instrText>
      </w:r>
      <w:r>
        <w:rPr>
          <w:noProof/>
        </w:rPr>
      </w:r>
      <w:r>
        <w:rPr>
          <w:noProof/>
        </w:rPr>
        <w:fldChar w:fldCharType="separate"/>
      </w:r>
      <w:r w:rsidRPr="00663863">
        <w:rPr>
          <w:noProof/>
          <w:lang w:val="en-US"/>
        </w:rPr>
        <w:t>19</w:t>
      </w:r>
      <w:r>
        <w:rPr>
          <w:noProof/>
        </w:rPr>
        <w:fldChar w:fldCharType="end"/>
      </w:r>
    </w:p>
    <w:p w14:paraId="0164D46F" w14:textId="77777777" w:rsidR="00663863" w:rsidRPr="00663863" w:rsidRDefault="00663863">
      <w:pPr>
        <w:pStyle w:val="Verzeichnis2"/>
        <w:tabs>
          <w:tab w:val="left" w:pos="880"/>
          <w:tab w:val="right" w:leader="dot" w:pos="7305"/>
        </w:tabs>
        <w:rPr>
          <w:rFonts w:eastAsiaTheme="minorEastAsia" w:cstheme="minorBidi"/>
          <w:smallCaps w:val="0"/>
          <w:noProof/>
          <w:sz w:val="24"/>
          <w:szCs w:val="24"/>
          <w:lang w:val="en-US" w:eastAsia="de-DE"/>
        </w:rPr>
      </w:pPr>
      <w:r w:rsidRPr="00AB2BFA">
        <w:rPr>
          <w:noProof/>
          <w:lang w:val="fr-CH"/>
        </w:rPr>
        <w:t>3.2</w:t>
      </w:r>
      <w:r w:rsidRPr="00663863">
        <w:rPr>
          <w:rFonts w:eastAsiaTheme="minorEastAsia" w:cstheme="minorBidi"/>
          <w:smallCaps w:val="0"/>
          <w:noProof/>
          <w:sz w:val="24"/>
          <w:szCs w:val="24"/>
          <w:lang w:val="en-US" w:eastAsia="de-DE"/>
        </w:rPr>
        <w:tab/>
      </w:r>
      <w:r w:rsidRPr="00AB2BFA">
        <w:rPr>
          <w:noProof/>
          <w:lang w:val="fr-CH"/>
        </w:rPr>
        <w:t>SÉPARATION DES COMPÉTENCES EN MATIÈRE D’AUTORISATION ET DE SURVEILLANCE</w:t>
      </w:r>
      <w:r w:rsidRPr="00663863">
        <w:rPr>
          <w:noProof/>
          <w:lang w:val="en-US"/>
        </w:rPr>
        <w:tab/>
      </w:r>
      <w:r>
        <w:rPr>
          <w:noProof/>
        </w:rPr>
        <w:fldChar w:fldCharType="begin"/>
      </w:r>
      <w:r w:rsidRPr="00663863">
        <w:rPr>
          <w:noProof/>
          <w:lang w:val="en-US"/>
        </w:rPr>
        <w:instrText xml:space="preserve"> PAGEREF _Toc509959561 \h </w:instrText>
      </w:r>
      <w:r>
        <w:rPr>
          <w:noProof/>
        </w:rPr>
      </w:r>
      <w:r>
        <w:rPr>
          <w:noProof/>
        </w:rPr>
        <w:fldChar w:fldCharType="separate"/>
      </w:r>
      <w:r w:rsidRPr="00663863">
        <w:rPr>
          <w:noProof/>
          <w:lang w:val="en-US"/>
        </w:rPr>
        <w:t>20</w:t>
      </w:r>
      <w:r>
        <w:rPr>
          <w:noProof/>
        </w:rPr>
        <w:fldChar w:fldCharType="end"/>
      </w:r>
    </w:p>
    <w:p w14:paraId="14364978" w14:textId="77777777" w:rsidR="00663863" w:rsidRPr="00663863" w:rsidRDefault="00663863">
      <w:pPr>
        <w:pStyle w:val="Verzeichnis2"/>
        <w:tabs>
          <w:tab w:val="left" w:pos="880"/>
          <w:tab w:val="right" w:leader="dot" w:pos="7305"/>
        </w:tabs>
        <w:rPr>
          <w:rFonts w:eastAsiaTheme="minorEastAsia" w:cstheme="minorBidi"/>
          <w:smallCaps w:val="0"/>
          <w:noProof/>
          <w:sz w:val="24"/>
          <w:szCs w:val="24"/>
          <w:lang w:val="en-US" w:eastAsia="de-DE"/>
        </w:rPr>
      </w:pPr>
      <w:r w:rsidRPr="00AB2BFA">
        <w:rPr>
          <w:noProof/>
          <w:lang w:val="fr-CH"/>
        </w:rPr>
        <w:t>3.3</w:t>
      </w:r>
      <w:r w:rsidRPr="00663863">
        <w:rPr>
          <w:rFonts w:eastAsiaTheme="minorEastAsia" w:cstheme="minorBidi"/>
          <w:smallCaps w:val="0"/>
          <w:noProof/>
          <w:sz w:val="24"/>
          <w:szCs w:val="24"/>
          <w:lang w:val="en-US" w:eastAsia="de-DE"/>
        </w:rPr>
        <w:tab/>
      </w:r>
      <w:r w:rsidRPr="00AB2BFA">
        <w:rPr>
          <w:noProof/>
          <w:lang w:val="fr-CH"/>
        </w:rPr>
        <w:t>GARANTIE D’UNE PROCÉDURE D’AUTORISATION PUBLIQUE</w:t>
      </w:r>
      <w:r w:rsidRPr="00663863">
        <w:rPr>
          <w:noProof/>
          <w:lang w:val="en-US"/>
        </w:rPr>
        <w:tab/>
      </w:r>
      <w:r>
        <w:rPr>
          <w:noProof/>
        </w:rPr>
        <w:fldChar w:fldCharType="begin"/>
      </w:r>
      <w:r w:rsidRPr="00663863">
        <w:rPr>
          <w:noProof/>
          <w:lang w:val="en-US"/>
        </w:rPr>
        <w:instrText xml:space="preserve"> PAGEREF _Toc509959562 \h </w:instrText>
      </w:r>
      <w:r>
        <w:rPr>
          <w:noProof/>
        </w:rPr>
      </w:r>
      <w:r>
        <w:rPr>
          <w:noProof/>
        </w:rPr>
        <w:fldChar w:fldCharType="separate"/>
      </w:r>
      <w:r w:rsidRPr="00663863">
        <w:rPr>
          <w:noProof/>
          <w:lang w:val="en-US"/>
        </w:rPr>
        <w:t>20</w:t>
      </w:r>
      <w:r>
        <w:rPr>
          <w:noProof/>
        </w:rPr>
        <w:fldChar w:fldCharType="end"/>
      </w:r>
    </w:p>
    <w:p w14:paraId="01AD3B58" w14:textId="77777777" w:rsidR="00663863" w:rsidRPr="00663863" w:rsidRDefault="00663863">
      <w:pPr>
        <w:pStyle w:val="Verzeichnis1"/>
        <w:rPr>
          <w:rFonts w:asciiTheme="minorHAnsi" w:eastAsiaTheme="minorEastAsia" w:hAnsiTheme="minorHAnsi" w:cstheme="minorBidi"/>
          <w:bCs w:val="0"/>
          <w:caps w:val="0"/>
          <w:noProof/>
          <w:lang w:val="en-US" w:eastAsia="de-DE"/>
        </w:rPr>
      </w:pPr>
      <w:r w:rsidRPr="00AB2BFA">
        <w:rPr>
          <w:noProof/>
        </w:rPr>
        <w:t>4</w:t>
      </w:r>
      <w:r w:rsidRPr="00663863">
        <w:rPr>
          <w:rFonts w:asciiTheme="minorHAnsi" w:eastAsiaTheme="minorEastAsia" w:hAnsiTheme="minorHAnsi" w:cstheme="minorBidi"/>
          <w:bCs w:val="0"/>
          <w:caps w:val="0"/>
          <w:noProof/>
          <w:lang w:val="en-US" w:eastAsia="de-DE"/>
        </w:rPr>
        <w:tab/>
      </w:r>
      <w:r w:rsidRPr="00AB2BFA">
        <w:rPr>
          <w:noProof/>
        </w:rPr>
        <w:t>NOS REVENDICATIONS</w:t>
      </w:r>
      <w:r>
        <w:rPr>
          <w:noProof/>
        </w:rPr>
        <w:tab/>
      </w:r>
      <w:r>
        <w:rPr>
          <w:noProof/>
        </w:rPr>
        <w:fldChar w:fldCharType="begin"/>
      </w:r>
      <w:r>
        <w:rPr>
          <w:noProof/>
        </w:rPr>
        <w:instrText xml:space="preserve"> PAGEREF _Toc509959563 \h </w:instrText>
      </w:r>
      <w:r>
        <w:rPr>
          <w:noProof/>
        </w:rPr>
      </w:r>
      <w:r>
        <w:rPr>
          <w:noProof/>
        </w:rPr>
        <w:fldChar w:fldCharType="separate"/>
      </w:r>
      <w:r>
        <w:rPr>
          <w:noProof/>
        </w:rPr>
        <w:t>20</w:t>
      </w:r>
      <w:r>
        <w:rPr>
          <w:noProof/>
        </w:rPr>
        <w:fldChar w:fldCharType="end"/>
      </w:r>
    </w:p>
    <w:p w14:paraId="6DCA472A" w14:textId="77777777" w:rsidR="00663863" w:rsidRDefault="00663863">
      <w:pPr>
        <w:pStyle w:val="Verzeichnis1"/>
        <w:rPr>
          <w:rFonts w:asciiTheme="minorHAnsi" w:eastAsiaTheme="minorEastAsia" w:hAnsiTheme="minorHAnsi" w:cstheme="minorBidi"/>
          <w:bCs w:val="0"/>
          <w:caps w:val="0"/>
          <w:noProof/>
          <w:lang w:val="de-DE" w:eastAsia="de-DE"/>
        </w:rPr>
      </w:pPr>
      <w:r w:rsidRPr="00AB2BFA">
        <w:rPr>
          <w:noProof/>
        </w:rPr>
        <w:t>5</w:t>
      </w:r>
      <w:r>
        <w:rPr>
          <w:rFonts w:asciiTheme="minorHAnsi" w:eastAsiaTheme="minorEastAsia" w:hAnsiTheme="minorHAnsi" w:cstheme="minorBidi"/>
          <w:bCs w:val="0"/>
          <w:caps w:val="0"/>
          <w:noProof/>
          <w:lang w:val="de-DE" w:eastAsia="de-DE"/>
        </w:rPr>
        <w:tab/>
      </w:r>
      <w:r w:rsidRPr="00AB2BFA">
        <w:rPr>
          <w:noProof/>
        </w:rPr>
        <w:t>GLOSSAIRE</w:t>
      </w:r>
      <w:r>
        <w:rPr>
          <w:noProof/>
        </w:rPr>
        <w:tab/>
      </w:r>
      <w:r>
        <w:rPr>
          <w:noProof/>
        </w:rPr>
        <w:fldChar w:fldCharType="begin"/>
      </w:r>
      <w:r>
        <w:rPr>
          <w:noProof/>
        </w:rPr>
        <w:instrText xml:space="preserve"> PAGEREF _Toc509959564 \h </w:instrText>
      </w:r>
      <w:r>
        <w:rPr>
          <w:noProof/>
        </w:rPr>
      </w:r>
      <w:r>
        <w:rPr>
          <w:noProof/>
        </w:rPr>
        <w:fldChar w:fldCharType="separate"/>
      </w:r>
      <w:r>
        <w:rPr>
          <w:noProof/>
        </w:rPr>
        <w:t>21</w:t>
      </w:r>
      <w:r>
        <w:rPr>
          <w:noProof/>
        </w:rPr>
        <w:fldChar w:fldCharType="end"/>
      </w:r>
    </w:p>
    <w:p w14:paraId="1AE8BB84" w14:textId="4C453ABC" w:rsidR="00D46FB5" w:rsidRPr="002D0D60" w:rsidRDefault="00FD40A8">
      <w:pPr>
        <w:spacing w:after="200" w:line="276" w:lineRule="auto"/>
        <w:rPr>
          <w:color w:val="3366FF"/>
          <w:highlight w:val="yellow"/>
          <w:lang w:val="fr-CH"/>
        </w:rPr>
      </w:pPr>
      <w:r w:rsidRPr="002D0D60">
        <w:rPr>
          <w:rFonts w:asciiTheme="majorHAnsi" w:hAnsiTheme="majorHAnsi" w:cstheme="minorHAnsi"/>
          <w:b/>
          <w:bCs/>
          <w:color w:val="3366FF"/>
          <w:sz w:val="24"/>
          <w:szCs w:val="24"/>
          <w:highlight w:val="yellow"/>
          <w:lang w:val="fr-CH"/>
        </w:rPr>
        <w:fldChar w:fldCharType="end"/>
      </w:r>
      <w:r w:rsidR="00D46FB5" w:rsidRPr="002D0D60">
        <w:rPr>
          <w:b/>
          <w:bCs/>
          <w:color w:val="3366FF"/>
          <w:highlight w:val="yellow"/>
          <w:lang w:val="fr-CH"/>
        </w:rPr>
        <w:br w:type="page"/>
      </w:r>
    </w:p>
    <w:p w14:paraId="0CA90B7C" w14:textId="1004C9A8" w:rsidR="006865AE" w:rsidRPr="002D0D60" w:rsidRDefault="001A6D3F" w:rsidP="006865AE">
      <w:pPr>
        <w:pStyle w:val="berschrift1"/>
        <w:rPr>
          <w:lang w:val="fr-CH"/>
        </w:rPr>
      </w:pPr>
      <w:bookmarkStart w:id="1" w:name="_Ref507064674"/>
      <w:bookmarkStart w:id="2" w:name="_Toc509959543"/>
      <w:r w:rsidRPr="002D0D60">
        <w:rPr>
          <w:lang w:val="fr-CH"/>
        </w:rPr>
        <w:lastRenderedPageBreak/>
        <w:t>R</w:t>
      </w:r>
      <w:r w:rsidRPr="002D0D60">
        <w:rPr>
          <w:caps/>
          <w:lang w:val="fr-CH"/>
        </w:rPr>
        <w:t>é</w:t>
      </w:r>
      <w:r w:rsidRPr="002D0D60">
        <w:rPr>
          <w:lang w:val="fr-CH"/>
        </w:rPr>
        <w:t>SUM</w:t>
      </w:r>
      <w:r w:rsidRPr="002D0D60">
        <w:rPr>
          <w:caps/>
          <w:lang w:val="fr-CH"/>
        </w:rPr>
        <w:t xml:space="preserve">é </w:t>
      </w:r>
      <w:r w:rsidRPr="002D0D60">
        <w:rPr>
          <w:lang w:val="fr-CH"/>
        </w:rPr>
        <w:t>DE NOTRE POSITION</w:t>
      </w:r>
      <w:bookmarkEnd w:id="1"/>
      <w:bookmarkEnd w:id="2"/>
    </w:p>
    <w:p w14:paraId="32771846" w14:textId="28175312" w:rsidR="00B51167" w:rsidRPr="002D0D60" w:rsidRDefault="00B153A6" w:rsidP="00B51167">
      <w:pPr>
        <w:pStyle w:val="paragraph"/>
        <w:textAlignment w:val="baseline"/>
        <w:rPr>
          <w:rFonts w:cs="Times New Roman"/>
          <w:lang w:val="fr-CH"/>
        </w:rPr>
      </w:pPr>
      <w:r w:rsidRPr="002D0D60">
        <w:rPr>
          <w:rStyle w:val="normaltextrun"/>
          <w:rFonts w:ascii="Arial" w:hAnsi="Arial" w:cs="Arial"/>
          <w:sz w:val="22"/>
          <w:szCs w:val="22"/>
          <w:lang w:val="fr-CH"/>
        </w:rPr>
        <w:t>La révision des ordonnances dans le domaine du nucléaire (</w:t>
      </w:r>
      <w:r w:rsidR="00B13029">
        <w:rPr>
          <w:rStyle w:val="normaltextrun"/>
          <w:rFonts w:ascii="Arial" w:hAnsi="Arial" w:cs="Arial"/>
          <w:sz w:val="22"/>
          <w:szCs w:val="22"/>
          <w:lang w:val="fr-CH"/>
        </w:rPr>
        <w:t>O</w:t>
      </w:r>
      <w:r w:rsidR="00B13029" w:rsidRPr="00B13029">
        <w:rPr>
          <w:rStyle w:val="normaltextrun"/>
          <w:rFonts w:ascii="Arial" w:hAnsi="Arial" w:cs="Arial"/>
          <w:sz w:val="22"/>
          <w:szCs w:val="22"/>
          <w:lang w:val="fr-CH"/>
        </w:rPr>
        <w:t>rdonnanc</w:t>
      </w:r>
      <w:r w:rsidR="00B13029">
        <w:rPr>
          <w:rStyle w:val="normaltextrun"/>
          <w:rFonts w:ascii="Arial" w:hAnsi="Arial" w:cs="Arial"/>
          <w:sz w:val="22"/>
          <w:szCs w:val="22"/>
          <w:lang w:val="fr-CH"/>
        </w:rPr>
        <w:t>e sur l’énergie nucléaire, O</w:t>
      </w:r>
      <w:r w:rsidR="00B13029" w:rsidRPr="00B13029">
        <w:rPr>
          <w:rStyle w:val="normaltextrun"/>
          <w:rFonts w:ascii="Arial" w:hAnsi="Arial" w:cs="Arial"/>
          <w:sz w:val="22"/>
          <w:szCs w:val="22"/>
          <w:lang w:val="fr-CH"/>
        </w:rPr>
        <w:t>rdonnan</w:t>
      </w:r>
      <w:r w:rsidR="00B13029">
        <w:rPr>
          <w:rStyle w:val="normaltextrun"/>
          <w:rFonts w:ascii="Arial" w:hAnsi="Arial" w:cs="Arial"/>
          <w:sz w:val="22"/>
          <w:szCs w:val="22"/>
          <w:lang w:val="fr-CH"/>
        </w:rPr>
        <w:t>ce sur les hypothèses de risque, O</w:t>
      </w:r>
      <w:r w:rsidR="00B13029" w:rsidRPr="00B13029">
        <w:rPr>
          <w:rStyle w:val="normaltextrun"/>
          <w:rFonts w:ascii="Arial" w:hAnsi="Arial" w:cs="Arial"/>
          <w:sz w:val="22"/>
          <w:szCs w:val="22"/>
          <w:lang w:val="fr-CH"/>
        </w:rPr>
        <w:t>rdonnance sur la mise hors service d’une centrale nucléaire</w:t>
      </w:r>
      <w:r w:rsidR="00B51167" w:rsidRPr="002D0D60">
        <w:rPr>
          <w:rStyle w:val="normaltextrun"/>
          <w:rFonts w:ascii="Arial" w:hAnsi="Arial" w:cs="Arial"/>
          <w:sz w:val="22"/>
          <w:szCs w:val="22"/>
          <w:lang w:val="fr-CH"/>
        </w:rPr>
        <w:t xml:space="preserve">) </w:t>
      </w:r>
      <w:r w:rsidR="00BD7878" w:rsidRPr="002D0D60">
        <w:rPr>
          <w:rStyle w:val="normaltextrun"/>
          <w:rFonts w:ascii="Arial" w:hAnsi="Arial" w:cs="Arial"/>
          <w:sz w:val="22"/>
          <w:szCs w:val="22"/>
          <w:lang w:val="fr-CH"/>
        </w:rPr>
        <w:t>doit être rejetée, pour les raisons suivantes </w:t>
      </w:r>
      <w:r w:rsidR="00B51167" w:rsidRPr="002D0D60">
        <w:rPr>
          <w:rStyle w:val="normaltextrun"/>
          <w:rFonts w:ascii="Arial" w:hAnsi="Arial" w:cs="Arial"/>
          <w:sz w:val="22"/>
          <w:szCs w:val="22"/>
          <w:lang w:val="fr-CH"/>
        </w:rPr>
        <w:t>:</w:t>
      </w:r>
      <w:r w:rsidR="00B51167" w:rsidRPr="002D0D60">
        <w:rPr>
          <w:rStyle w:val="eop"/>
          <w:rFonts w:ascii="Arial" w:hAnsi="Arial" w:cs="Arial"/>
          <w:sz w:val="22"/>
          <w:szCs w:val="22"/>
          <w:lang w:val="fr-CH"/>
        </w:rPr>
        <w:t> </w:t>
      </w:r>
    </w:p>
    <w:p w14:paraId="5D3A014C" w14:textId="33945162" w:rsidR="00B51167" w:rsidRPr="002D0D60" w:rsidRDefault="00BD7878" w:rsidP="00B51167">
      <w:pPr>
        <w:pStyle w:val="paragraph"/>
        <w:numPr>
          <w:ilvl w:val="0"/>
          <w:numId w:val="30"/>
        </w:numPr>
        <w:textAlignment w:val="baseline"/>
        <w:rPr>
          <w:rStyle w:val="normaltextrun"/>
          <w:rFonts w:ascii="Arial" w:hAnsi="Arial" w:cs="Arial"/>
          <w:sz w:val="22"/>
          <w:szCs w:val="22"/>
          <w:lang w:val="fr-CH"/>
        </w:rPr>
      </w:pPr>
      <w:r w:rsidRPr="002D0D60">
        <w:rPr>
          <w:rStyle w:val="normaltextrun"/>
          <w:rFonts w:ascii="Arial" w:hAnsi="Arial" w:cs="Arial"/>
          <w:sz w:val="22"/>
          <w:szCs w:val="22"/>
          <w:lang w:val="fr-CH"/>
        </w:rPr>
        <w:t>La révision abaisse</w:t>
      </w:r>
      <w:r w:rsidR="003636BA" w:rsidRPr="002D0D60">
        <w:rPr>
          <w:rStyle w:val="normaltextrun"/>
          <w:rFonts w:ascii="Arial" w:hAnsi="Arial" w:cs="Arial"/>
          <w:sz w:val="22"/>
          <w:szCs w:val="22"/>
          <w:lang w:val="fr-CH"/>
        </w:rPr>
        <w:t xml:space="preserve"> les</w:t>
      </w:r>
      <w:r w:rsidRPr="002D0D60">
        <w:rPr>
          <w:rStyle w:val="normaltextrun"/>
          <w:rFonts w:ascii="Arial" w:hAnsi="Arial" w:cs="Arial"/>
          <w:sz w:val="22"/>
          <w:szCs w:val="22"/>
          <w:lang w:val="fr-CH"/>
        </w:rPr>
        <w:t xml:space="preserve"> exigences en matière de sécurité des centrales nucléaires suisses (CN)</w:t>
      </w:r>
      <w:r w:rsidR="00B51167" w:rsidRPr="002D0D60">
        <w:rPr>
          <w:rStyle w:val="normaltextrun"/>
          <w:rFonts w:ascii="Arial" w:hAnsi="Arial" w:cs="Arial"/>
          <w:sz w:val="22"/>
          <w:szCs w:val="22"/>
          <w:lang w:val="fr-CH"/>
        </w:rPr>
        <w:t xml:space="preserve">. </w:t>
      </w:r>
      <w:r w:rsidR="003636BA" w:rsidRPr="002D0D60">
        <w:rPr>
          <w:rStyle w:val="normaltextrun"/>
          <w:rFonts w:ascii="Arial" w:hAnsi="Arial" w:cs="Arial"/>
          <w:sz w:val="22"/>
          <w:szCs w:val="22"/>
          <w:lang w:val="fr-CH"/>
        </w:rPr>
        <w:t>Les réacteurs peuvent suffire aux nouvelles exigences proposées pendant encore des décennies, sans qu’il soit nécessaire de procéder à des investissements significatifs dans</w:t>
      </w:r>
      <w:r w:rsidR="00B05216" w:rsidRPr="002D0D60">
        <w:rPr>
          <w:rStyle w:val="normaltextrun"/>
          <w:rFonts w:ascii="Arial" w:hAnsi="Arial" w:cs="Arial"/>
          <w:sz w:val="22"/>
          <w:szCs w:val="22"/>
          <w:lang w:val="fr-CH"/>
        </w:rPr>
        <w:t xml:space="preserve"> le domaine de la sécurité. De fait, il s’agit d’une prolongation de la durée d’exploitation</w:t>
      </w:r>
      <w:r w:rsidR="00B22E81" w:rsidRPr="002D0D60">
        <w:rPr>
          <w:rStyle w:val="normaltextrun"/>
          <w:rFonts w:ascii="Arial" w:hAnsi="Arial" w:cs="Arial"/>
          <w:sz w:val="22"/>
          <w:szCs w:val="22"/>
          <w:lang w:val="fr-CH"/>
        </w:rPr>
        <w:t xml:space="preserve">, qui contrevient </w:t>
      </w:r>
      <w:r w:rsidR="00B05216" w:rsidRPr="002D0D60">
        <w:rPr>
          <w:rStyle w:val="normaltextrun"/>
          <w:rFonts w:ascii="Arial" w:hAnsi="Arial" w:cs="Arial"/>
          <w:sz w:val="22"/>
          <w:szCs w:val="22"/>
          <w:lang w:val="fr-CH"/>
        </w:rPr>
        <w:t>à la Stratégie énergétique 2050</w:t>
      </w:r>
      <w:r w:rsidR="00B22E81" w:rsidRPr="002D0D60">
        <w:rPr>
          <w:rStyle w:val="normaltextrun"/>
          <w:rFonts w:ascii="Arial" w:hAnsi="Arial" w:cs="Arial"/>
          <w:sz w:val="22"/>
          <w:szCs w:val="22"/>
          <w:lang w:val="fr-CH"/>
        </w:rPr>
        <w:t>, largeme</w:t>
      </w:r>
      <w:r w:rsidR="00C2671B">
        <w:rPr>
          <w:rStyle w:val="normaltextrun"/>
          <w:rFonts w:ascii="Arial" w:hAnsi="Arial" w:cs="Arial"/>
          <w:sz w:val="22"/>
          <w:szCs w:val="22"/>
          <w:lang w:val="fr-CH"/>
        </w:rPr>
        <w:t>nt soutenue par la population, et au</w:t>
      </w:r>
      <w:r w:rsidR="00B22E81" w:rsidRPr="002D0D60">
        <w:rPr>
          <w:rStyle w:val="normaltextrun"/>
          <w:rFonts w:ascii="Arial" w:hAnsi="Arial" w:cs="Arial"/>
          <w:sz w:val="22"/>
          <w:szCs w:val="22"/>
          <w:lang w:val="fr-CH"/>
        </w:rPr>
        <w:t xml:space="preserve"> </w:t>
      </w:r>
      <w:r w:rsidR="00477558">
        <w:rPr>
          <w:rStyle w:val="normaltextrun"/>
          <w:rFonts w:ascii="Arial" w:hAnsi="Arial" w:cs="Arial"/>
          <w:sz w:val="22"/>
          <w:szCs w:val="22"/>
          <w:lang w:val="fr-CH"/>
        </w:rPr>
        <w:t>principe « p</w:t>
      </w:r>
      <w:r w:rsidR="002F2A2C" w:rsidRPr="002D0D60">
        <w:rPr>
          <w:rStyle w:val="normaltextrun"/>
          <w:rFonts w:ascii="Arial" w:hAnsi="Arial" w:cs="Arial"/>
          <w:sz w:val="22"/>
          <w:szCs w:val="22"/>
          <w:lang w:val="fr-CH"/>
        </w:rPr>
        <w:t>oursuite de l’exploitation tant qu’elle est sûre »</w:t>
      </w:r>
      <w:r w:rsidR="00B05EED">
        <w:rPr>
          <w:rStyle w:val="normaltextrun"/>
          <w:rFonts w:ascii="Arial" w:hAnsi="Arial" w:cs="Arial"/>
          <w:sz w:val="22"/>
          <w:szCs w:val="22"/>
          <w:lang w:val="fr-CH"/>
        </w:rPr>
        <w:t>, valable en Suisse pour la sécurité nucléaire</w:t>
      </w:r>
      <w:r w:rsidR="002F2A2C" w:rsidRPr="002D0D60">
        <w:rPr>
          <w:rStyle w:val="normaltextrun"/>
          <w:rFonts w:ascii="Arial" w:hAnsi="Arial" w:cs="Arial"/>
          <w:sz w:val="22"/>
          <w:szCs w:val="22"/>
          <w:lang w:val="fr-CH"/>
        </w:rPr>
        <w:t xml:space="preserve"> </w:t>
      </w:r>
      <w:r w:rsidR="00B51167" w:rsidRPr="002D0D60">
        <w:rPr>
          <w:rStyle w:val="normaltextrun"/>
          <w:rFonts w:ascii="Arial" w:hAnsi="Arial" w:cs="Arial"/>
          <w:i/>
          <w:iCs/>
          <w:sz w:val="22"/>
          <w:szCs w:val="22"/>
          <w:lang w:val="fr-CH"/>
        </w:rPr>
        <w:t>(</w:t>
      </w:r>
      <w:r w:rsidR="002F2A2C" w:rsidRPr="002D0D60">
        <w:rPr>
          <w:rStyle w:val="normaltextrun"/>
          <w:rFonts w:ascii="Arial" w:hAnsi="Arial" w:cs="Arial"/>
          <w:i/>
          <w:iCs/>
          <w:sz w:val="22"/>
          <w:szCs w:val="22"/>
          <w:lang w:val="fr-CH"/>
        </w:rPr>
        <w:t xml:space="preserve">voir les développements </w:t>
      </w:r>
      <w:r w:rsidR="00477558">
        <w:rPr>
          <w:rStyle w:val="normaltextrun"/>
          <w:rFonts w:ascii="Arial" w:hAnsi="Arial" w:cs="Arial"/>
          <w:i/>
          <w:iCs/>
          <w:sz w:val="22"/>
          <w:szCs w:val="22"/>
          <w:lang w:val="fr-CH"/>
        </w:rPr>
        <w:t>de</w:t>
      </w:r>
      <w:r w:rsidR="00130DA3" w:rsidRPr="002D0D60">
        <w:rPr>
          <w:rStyle w:val="normaltextrun"/>
          <w:rFonts w:ascii="Arial" w:hAnsi="Arial" w:cs="Arial"/>
          <w:i/>
          <w:iCs/>
          <w:sz w:val="22"/>
          <w:szCs w:val="22"/>
          <w:lang w:val="fr-CH"/>
        </w:rPr>
        <w:t xml:space="preserve"> la section </w:t>
      </w:r>
      <w:r w:rsidR="00B51167" w:rsidRPr="002D0D60">
        <w:rPr>
          <w:rStyle w:val="normaltextrun"/>
          <w:rFonts w:ascii="Arial" w:hAnsi="Arial" w:cs="Arial"/>
          <w:i/>
          <w:iCs/>
          <w:sz w:val="22"/>
          <w:szCs w:val="22"/>
          <w:lang w:val="fr-CH"/>
        </w:rPr>
        <w:t>2.1)</w:t>
      </w:r>
      <w:r w:rsidR="00B51167" w:rsidRPr="002D0D60">
        <w:rPr>
          <w:rStyle w:val="normaltextrun"/>
          <w:rFonts w:ascii="Arial" w:hAnsi="Arial" w:cs="Arial"/>
          <w:sz w:val="22"/>
          <w:szCs w:val="22"/>
          <w:lang w:val="fr-CH"/>
        </w:rPr>
        <w:t>.</w:t>
      </w:r>
    </w:p>
    <w:p w14:paraId="58F6DBC6" w14:textId="26FDF1E2" w:rsidR="00B51167" w:rsidRPr="002D0D60" w:rsidRDefault="004A4919" w:rsidP="00B51167">
      <w:pPr>
        <w:pStyle w:val="paragraph"/>
        <w:numPr>
          <w:ilvl w:val="0"/>
          <w:numId w:val="30"/>
        </w:numPr>
        <w:textAlignment w:val="baseline"/>
        <w:rPr>
          <w:rFonts w:ascii="Arial" w:hAnsi="Arial" w:cs="Arial"/>
          <w:sz w:val="22"/>
          <w:szCs w:val="22"/>
          <w:lang w:val="fr-CH"/>
        </w:rPr>
      </w:pPr>
      <w:r w:rsidRPr="002D0D60">
        <w:rPr>
          <w:rStyle w:val="normaltextrun"/>
          <w:rFonts w:ascii="Arial" w:hAnsi="Arial" w:cs="Arial"/>
          <w:sz w:val="22"/>
          <w:szCs w:val="22"/>
          <w:lang w:val="fr-CH"/>
        </w:rPr>
        <w:t>La révision est problématique sur le plan de l’État</w:t>
      </w:r>
      <w:r w:rsidR="004C6E71" w:rsidRPr="002D0D60">
        <w:rPr>
          <w:rStyle w:val="normaltextrun"/>
          <w:rFonts w:ascii="Arial" w:hAnsi="Arial" w:cs="Arial"/>
          <w:sz w:val="22"/>
          <w:szCs w:val="22"/>
          <w:lang w:val="fr-CH"/>
        </w:rPr>
        <w:t xml:space="preserve"> de droit, car elle intervient </w:t>
      </w:r>
      <w:r w:rsidRPr="002D0D60">
        <w:rPr>
          <w:rStyle w:val="normaltextrun"/>
          <w:rFonts w:ascii="Arial" w:hAnsi="Arial" w:cs="Arial"/>
          <w:sz w:val="22"/>
          <w:szCs w:val="22"/>
          <w:lang w:val="fr-CH"/>
        </w:rPr>
        <w:t xml:space="preserve">dans une procédure en </w:t>
      </w:r>
      <w:r w:rsidR="00F555AE" w:rsidRPr="002D0D60">
        <w:rPr>
          <w:rStyle w:val="normaltextrun"/>
          <w:rFonts w:ascii="Arial" w:hAnsi="Arial" w:cs="Arial"/>
          <w:sz w:val="22"/>
          <w:szCs w:val="22"/>
          <w:lang w:val="fr-CH"/>
        </w:rPr>
        <w:t>cours devant le Tribunal administratif</w:t>
      </w:r>
      <w:r w:rsidR="003F7239" w:rsidRPr="002D0D60">
        <w:rPr>
          <w:rStyle w:val="normaltextrun"/>
          <w:rFonts w:ascii="Arial" w:hAnsi="Arial" w:cs="Arial"/>
          <w:sz w:val="22"/>
          <w:szCs w:val="22"/>
          <w:lang w:val="fr-CH"/>
        </w:rPr>
        <w:t xml:space="preserve"> fédéral. Le Conseil fédéral insinue que la situation légale ne serait pas claire, alors que ce point est justement en cause dans le cadre de la procédure. </w:t>
      </w:r>
      <w:r w:rsidR="00BD60FF" w:rsidRPr="002D0D60">
        <w:rPr>
          <w:rStyle w:val="normaltextrun"/>
          <w:rFonts w:ascii="Arial" w:hAnsi="Arial" w:cs="Arial"/>
          <w:sz w:val="22"/>
          <w:szCs w:val="22"/>
          <w:lang w:val="fr-CH"/>
        </w:rPr>
        <w:t>Sans raison objective, l</w:t>
      </w:r>
      <w:r w:rsidR="003F7239" w:rsidRPr="002D0D60">
        <w:rPr>
          <w:rStyle w:val="normaltextrun"/>
          <w:rFonts w:ascii="Arial" w:hAnsi="Arial" w:cs="Arial"/>
          <w:sz w:val="22"/>
          <w:szCs w:val="22"/>
          <w:lang w:val="fr-CH"/>
        </w:rPr>
        <w:t xml:space="preserve">e Conseil fédéral prend </w:t>
      </w:r>
      <w:r w:rsidR="0061159E" w:rsidRPr="002D0D60">
        <w:rPr>
          <w:rStyle w:val="normaltextrun"/>
          <w:rFonts w:ascii="Arial" w:hAnsi="Arial" w:cs="Arial"/>
          <w:sz w:val="22"/>
          <w:szCs w:val="22"/>
          <w:lang w:val="fr-CH"/>
        </w:rPr>
        <w:t>parti de manière unilatérale</w:t>
      </w:r>
      <w:r w:rsidR="00BD60FF" w:rsidRPr="002D0D60">
        <w:rPr>
          <w:rStyle w:val="normaltextrun"/>
          <w:rFonts w:ascii="Arial" w:hAnsi="Arial" w:cs="Arial"/>
          <w:sz w:val="22"/>
          <w:szCs w:val="22"/>
          <w:lang w:val="fr-CH"/>
        </w:rPr>
        <w:t xml:space="preserve"> </w:t>
      </w:r>
      <w:r w:rsidR="00811949">
        <w:rPr>
          <w:rStyle w:val="normaltextrun"/>
          <w:rFonts w:ascii="Arial" w:hAnsi="Arial" w:cs="Arial"/>
          <w:sz w:val="22"/>
          <w:szCs w:val="22"/>
          <w:lang w:val="fr-CH"/>
        </w:rPr>
        <w:t>en faveur d</w:t>
      </w:r>
      <w:r w:rsidR="00BD60FF" w:rsidRPr="002D0D60">
        <w:rPr>
          <w:rStyle w:val="normaltextrun"/>
          <w:rFonts w:ascii="Arial" w:hAnsi="Arial" w:cs="Arial"/>
          <w:sz w:val="22"/>
          <w:szCs w:val="22"/>
          <w:lang w:val="fr-CH"/>
        </w:rPr>
        <w:t xml:space="preserve">es intérêts des exploitants des CN, et affaiblit </w:t>
      </w:r>
      <w:r w:rsidR="00176689" w:rsidRPr="002D0D60">
        <w:rPr>
          <w:rStyle w:val="normaltextrun"/>
          <w:rFonts w:ascii="Arial" w:hAnsi="Arial" w:cs="Arial"/>
          <w:sz w:val="22"/>
          <w:szCs w:val="22"/>
          <w:lang w:val="fr-CH"/>
        </w:rPr>
        <w:t xml:space="preserve">donc </w:t>
      </w:r>
      <w:r w:rsidR="009E183C">
        <w:rPr>
          <w:rStyle w:val="normaltextrun"/>
          <w:rFonts w:ascii="Arial" w:hAnsi="Arial" w:cs="Arial"/>
          <w:sz w:val="22"/>
          <w:szCs w:val="22"/>
          <w:lang w:val="fr-CH"/>
        </w:rPr>
        <w:t>drastiquement</w:t>
      </w:r>
      <w:r w:rsidR="00176689" w:rsidRPr="002D0D60">
        <w:rPr>
          <w:rStyle w:val="normaltextrun"/>
          <w:rFonts w:ascii="Arial" w:hAnsi="Arial" w:cs="Arial"/>
          <w:sz w:val="22"/>
          <w:szCs w:val="22"/>
          <w:lang w:val="fr-CH"/>
        </w:rPr>
        <w:t xml:space="preserve"> la protection de la population </w:t>
      </w:r>
      <w:r w:rsidR="009E183C">
        <w:rPr>
          <w:rStyle w:val="normaltextrun"/>
          <w:rFonts w:ascii="Arial" w:hAnsi="Arial" w:cs="Arial"/>
          <w:sz w:val="22"/>
          <w:szCs w:val="22"/>
          <w:lang w:val="fr-CH"/>
        </w:rPr>
        <w:t>face aux</w:t>
      </w:r>
      <w:r w:rsidR="00176689" w:rsidRPr="002D0D60">
        <w:rPr>
          <w:rStyle w:val="normaltextrun"/>
          <w:rFonts w:ascii="Arial" w:hAnsi="Arial" w:cs="Arial"/>
          <w:sz w:val="22"/>
          <w:szCs w:val="22"/>
          <w:lang w:val="fr-CH"/>
        </w:rPr>
        <w:t xml:space="preserve"> risques nucléaires. Par ailleurs il </w:t>
      </w:r>
      <w:r w:rsidR="009E183C">
        <w:rPr>
          <w:rStyle w:val="normaltextrun"/>
          <w:rFonts w:ascii="Arial" w:hAnsi="Arial" w:cs="Arial"/>
          <w:sz w:val="22"/>
          <w:szCs w:val="22"/>
          <w:lang w:val="fr-CH"/>
        </w:rPr>
        <w:t>empêche</w:t>
      </w:r>
      <w:r w:rsidR="00176689" w:rsidRPr="002D0D60">
        <w:rPr>
          <w:rStyle w:val="normaltextrun"/>
          <w:rFonts w:ascii="Arial" w:hAnsi="Arial" w:cs="Arial"/>
          <w:sz w:val="22"/>
          <w:szCs w:val="22"/>
          <w:lang w:val="fr-CH"/>
        </w:rPr>
        <w:t xml:space="preserve"> </w:t>
      </w:r>
      <w:r w:rsidR="003347B8" w:rsidRPr="002D0D60">
        <w:rPr>
          <w:rStyle w:val="normaltextrun"/>
          <w:rFonts w:ascii="Arial" w:hAnsi="Arial" w:cs="Arial"/>
          <w:sz w:val="22"/>
          <w:szCs w:val="22"/>
          <w:lang w:val="fr-CH"/>
        </w:rPr>
        <w:t>un</w:t>
      </w:r>
      <w:r w:rsidR="00176689" w:rsidRPr="002D0D60">
        <w:rPr>
          <w:rStyle w:val="normaltextrun"/>
          <w:rFonts w:ascii="Arial" w:hAnsi="Arial" w:cs="Arial"/>
          <w:sz w:val="22"/>
          <w:szCs w:val="22"/>
          <w:lang w:val="fr-CH"/>
        </w:rPr>
        <w:t xml:space="preserve"> contrôle </w:t>
      </w:r>
      <w:r w:rsidR="003347B8" w:rsidRPr="002D0D60">
        <w:rPr>
          <w:rStyle w:val="normaltextrun"/>
          <w:rFonts w:ascii="Arial" w:hAnsi="Arial" w:cs="Arial"/>
          <w:sz w:val="22"/>
          <w:szCs w:val="22"/>
          <w:lang w:val="fr-CH"/>
        </w:rPr>
        <w:t xml:space="preserve">juridictionnel </w:t>
      </w:r>
      <w:r w:rsidR="00176689" w:rsidRPr="002D0D60">
        <w:rPr>
          <w:rStyle w:val="normaltextrun"/>
          <w:rFonts w:ascii="Arial" w:hAnsi="Arial" w:cs="Arial"/>
          <w:sz w:val="22"/>
          <w:szCs w:val="22"/>
          <w:lang w:val="fr-CH"/>
        </w:rPr>
        <w:t>efficace de la surveillance nucléaire</w:t>
      </w:r>
      <w:r w:rsidR="0024634F" w:rsidRPr="002D0D60">
        <w:rPr>
          <w:rStyle w:val="normaltextrun"/>
          <w:rFonts w:ascii="Arial" w:hAnsi="Arial" w:cs="Arial"/>
          <w:sz w:val="22"/>
          <w:szCs w:val="22"/>
          <w:lang w:val="fr-CH"/>
        </w:rPr>
        <w:t xml:space="preserve">, que le Tribunal fédéral considère comme essentiel </w:t>
      </w:r>
      <w:r w:rsidR="009E183C">
        <w:rPr>
          <w:rStyle w:val="normaltextrun"/>
          <w:rFonts w:ascii="Arial" w:hAnsi="Arial" w:cs="Arial"/>
          <w:sz w:val="22"/>
          <w:szCs w:val="22"/>
          <w:lang w:val="fr-CH"/>
        </w:rPr>
        <w:t>à</w:t>
      </w:r>
      <w:r w:rsidR="0024634F" w:rsidRPr="002D0D60">
        <w:rPr>
          <w:rStyle w:val="normaltextrun"/>
          <w:rFonts w:ascii="Arial" w:hAnsi="Arial" w:cs="Arial"/>
          <w:sz w:val="22"/>
          <w:szCs w:val="22"/>
          <w:lang w:val="fr-CH"/>
        </w:rPr>
        <w:t xml:space="preserve"> la garantie des mandats de protection </w:t>
      </w:r>
      <w:r w:rsidR="00CC0447" w:rsidRPr="002D0D60">
        <w:rPr>
          <w:rStyle w:val="normaltextrun"/>
          <w:rFonts w:ascii="Arial" w:hAnsi="Arial" w:cs="Arial"/>
          <w:sz w:val="22"/>
          <w:szCs w:val="22"/>
          <w:lang w:val="fr-CH"/>
        </w:rPr>
        <w:t xml:space="preserve">en vertu des droits fondamentaux </w:t>
      </w:r>
      <w:r w:rsidR="00B51167" w:rsidRPr="002D0D60">
        <w:rPr>
          <w:rStyle w:val="normaltextrun"/>
          <w:rFonts w:ascii="Arial" w:hAnsi="Arial" w:cs="Arial"/>
          <w:sz w:val="22"/>
          <w:szCs w:val="22"/>
          <w:lang w:val="fr-CH"/>
        </w:rPr>
        <w:t>(</w:t>
      </w:r>
      <w:r w:rsidR="00CC0447" w:rsidRPr="002D0D60">
        <w:rPr>
          <w:rStyle w:val="normaltextrun"/>
          <w:rFonts w:ascii="Arial" w:hAnsi="Arial" w:cs="Arial"/>
          <w:i/>
          <w:iCs/>
          <w:sz w:val="22"/>
          <w:szCs w:val="22"/>
          <w:lang w:val="fr-CH"/>
        </w:rPr>
        <w:t>voir</w:t>
      </w:r>
      <w:r w:rsidR="00CF529A" w:rsidRPr="002D0D60">
        <w:rPr>
          <w:rStyle w:val="normaltextrun"/>
          <w:rFonts w:ascii="Arial" w:hAnsi="Arial" w:cs="Arial"/>
          <w:i/>
          <w:iCs/>
          <w:sz w:val="22"/>
          <w:szCs w:val="22"/>
          <w:lang w:val="fr-CH"/>
        </w:rPr>
        <w:t xml:space="preserve"> 2.1 </w:t>
      </w:r>
      <w:r w:rsidR="00CC0447" w:rsidRPr="002D0D60">
        <w:rPr>
          <w:rStyle w:val="normaltextrun"/>
          <w:rFonts w:ascii="Arial" w:hAnsi="Arial" w:cs="Arial"/>
          <w:i/>
          <w:iCs/>
          <w:sz w:val="22"/>
          <w:szCs w:val="22"/>
          <w:lang w:val="fr-CH"/>
        </w:rPr>
        <w:t>et</w:t>
      </w:r>
      <w:r w:rsidR="00CF529A" w:rsidRPr="002D0D60">
        <w:rPr>
          <w:rStyle w:val="normaltextrun"/>
          <w:rFonts w:ascii="Arial" w:hAnsi="Arial" w:cs="Arial"/>
          <w:i/>
          <w:iCs/>
          <w:sz w:val="22"/>
          <w:szCs w:val="22"/>
          <w:lang w:val="fr-CH"/>
        </w:rPr>
        <w:t xml:space="preserve"> </w:t>
      </w:r>
      <w:r w:rsidR="00B51167" w:rsidRPr="002D0D60">
        <w:rPr>
          <w:rStyle w:val="normaltextrun"/>
          <w:rFonts w:ascii="Arial" w:hAnsi="Arial" w:cs="Arial"/>
          <w:i/>
          <w:iCs/>
          <w:sz w:val="22"/>
          <w:szCs w:val="22"/>
          <w:lang w:val="fr-CH"/>
        </w:rPr>
        <w:t>2.2</w:t>
      </w:r>
      <w:r w:rsidR="00B51167" w:rsidRPr="002D0D60">
        <w:rPr>
          <w:rStyle w:val="normaltextrun"/>
          <w:rFonts w:ascii="Arial" w:hAnsi="Arial" w:cs="Arial"/>
          <w:sz w:val="22"/>
          <w:szCs w:val="22"/>
          <w:lang w:val="fr-CH"/>
        </w:rPr>
        <w:t>).</w:t>
      </w:r>
    </w:p>
    <w:p w14:paraId="1550B1C1" w14:textId="2895F33D" w:rsidR="00B51167" w:rsidRPr="002D0D60" w:rsidRDefault="00CC0447" w:rsidP="00B51167">
      <w:pPr>
        <w:pStyle w:val="paragraph"/>
        <w:numPr>
          <w:ilvl w:val="0"/>
          <w:numId w:val="30"/>
        </w:numPr>
        <w:textAlignment w:val="baseline"/>
        <w:rPr>
          <w:rFonts w:ascii="Arial" w:hAnsi="Arial" w:cs="Arial"/>
          <w:sz w:val="22"/>
          <w:szCs w:val="22"/>
          <w:lang w:val="fr-CH"/>
        </w:rPr>
      </w:pPr>
      <w:r w:rsidRPr="002D0D60">
        <w:rPr>
          <w:rStyle w:val="normaltextrun"/>
          <w:rFonts w:ascii="Arial" w:hAnsi="Arial" w:cs="Arial"/>
          <w:sz w:val="22"/>
          <w:szCs w:val="22"/>
          <w:lang w:val="fr-CH"/>
        </w:rPr>
        <w:t xml:space="preserve">La révision restreint </w:t>
      </w:r>
      <w:r w:rsidR="003E1A1C" w:rsidRPr="002D0D60">
        <w:rPr>
          <w:rStyle w:val="normaltextrun"/>
          <w:rFonts w:ascii="Arial" w:hAnsi="Arial" w:cs="Arial"/>
          <w:sz w:val="22"/>
          <w:szCs w:val="22"/>
          <w:lang w:val="fr-CH"/>
        </w:rPr>
        <w:t xml:space="preserve">dramatiquement </w:t>
      </w:r>
      <w:r w:rsidRPr="002D0D60">
        <w:rPr>
          <w:rStyle w:val="normaltextrun"/>
          <w:rFonts w:ascii="Arial" w:hAnsi="Arial" w:cs="Arial"/>
          <w:sz w:val="22"/>
          <w:szCs w:val="22"/>
          <w:lang w:val="fr-CH"/>
        </w:rPr>
        <w:t xml:space="preserve">le champ d’application des dits </w:t>
      </w:r>
      <w:r w:rsidR="00CF3E5C" w:rsidRPr="002D0D60">
        <w:rPr>
          <w:rStyle w:val="normaltextrun"/>
          <w:rFonts w:ascii="Arial" w:hAnsi="Arial" w:cs="Arial"/>
          <w:sz w:val="22"/>
          <w:szCs w:val="22"/>
          <w:lang w:val="fr-CH"/>
        </w:rPr>
        <w:t xml:space="preserve">critères de mise hors service </w:t>
      </w:r>
      <w:r w:rsidR="003E1A1C" w:rsidRPr="002D0D60">
        <w:rPr>
          <w:rStyle w:val="normaltextrun"/>
          <w:rFonts w:ascii="Arial" w:hAnsi="Arial" w:cs="Arial"/>
          <w:sz w:val="22"/>
          <w:szCs w:val="22"/>
          <w:lang w:val="fr-CH"/>
        </w:rPr>
        <w:t xml:space="preserve">dans le domaine du droit de l’énergie nucléaire. Ceci revient à contourner un élément central de la sécurité nucléaire, qui détermine le moment où une CN ne répond plus aux exigences d’une exploitation sûre et doit donc être mise hors service </w:t>
      </w:r>
      <w:r w:rsidR="00B51167" w:rsidRPr="002D0D60">
        <w:rPr>
          <w:rStyle w:val="normaltextrun"/>
          <w:rFonts w:ascii="Arial" w:hAnsi="Arial" w:cs="Arial"/>
          <w:sz w:val="22"/>
          <w:szCs w:val="22"/>
          <w:lang w:val="fr-CH"/>
        </w:rPr>
        <w:t>(</w:t>
      </w:r>
      <w:r w:rsidR="003E1A1C" w:rsidRPr="002D0D60">
        <w:rPr>
          <w:rStyle w:val="normaltextrun"/>
          <w:rFonts w:ascii="Arial" w:hAnsi="Arial" w:cs="Arial"/>
          <w:i/>
          <w:iCs/>
          <w:sz w:val="22"/>
          <w:szCs w:val="22"/>
          <w:lang w:val="fr-CH"/>
        </w:rPr>
        <w:t>voir</w:t>
      </w:r>
      <w:r w:rsidR="007F7A13" w:rsidRPr="002D0D60">
        <w:rPr>
          <w:rStyle w:val="normaltextrun"/>
          <w:rFonts w:ascii="Arial" w:hAnsi="Arial" w:cs="Arial"/>
          <w:i/>
          <w:iCs/>
          <w:sz w:val="22"/>
          <w:szCs w:val="22"/>
          <w:lang w:val="fr-CH"/>
        </w:rPr>
        <w:t xml:space="preserve"> </w:t>
      </w:r>
      <w:r w:rsidR="007F7A13" w:rsidRPr="002D0D60">
        <w:rPr>
          <w:rStyle w:val="normaltextrun"/>
          <w:rFonts w:ascii="Arial" w:hAnsi="Arial" w:cs="Arial"/>
          <w:i/>
          <w:iCs/>
          <w:sz w:val="22"/>
          <w:szCs w:val="22"/>
          <w:lang w:val="fr-CH"/>
        </w:rPr>
        <w:fldChar w:fldCharType="begin"/>
      </w:r>
      <w:r w:rsidR="007F7A13" w:rsidRPr="002D0D60">
        <w:rPr>
          <w:rStyle w:val="normaltextrun"/>
          <w:rFonts w:ascii="Arial" w:hAnsi="Arial" w:cs="Arial"/>
          <w:i/>
          <w:iCs/>
          <w:sz w:val="22"/>
          <w:szCs w:val="22"/>
          <w:lang w:val="fr-CH"/>
        </w:rPr>
        <w:instrText xml:space="preserve"> REF _Ref507064592 \r \h </w:instrText>
      </w:r>
      <w:r w:rsidR="007F7A13" w:rsidRPr="002D0D60">
        <w:rPr>
          <w:rStyle w:val="normaltextrun"/>
          <w:rFonts w:ascii="Arial" w:hAnsi="Arial" w:cs="Arial"/>
          <w:i/>
          <w:iCs/>
          <w:sz w:val="22"/>
          <w:szCs w:val="22"/>
          <w:lang w:val="fr-CH"/>
        </w:rPr>
      </w:r>
      <w:r w:rsidR="007F7A13" w:rsidRPr="002D0D60">
        <w:rPr>
          <w:rStyle w:val="normaltextrun"/>
          <w:rFonts w:ascii="Arial" w:hAnsi="Arial" w:cs="Arial"/>
          <w:i/>
          <w:iCs/>
          <w:sz w:val="22"/>
          <w:szCs w:val="22"/>
          <w:lang w:val="fr-CH"/>
        </w:rPr>
        <w:fldChar w:fldCharType="separate"/>
      </w:r>
      <w:r w:rsidR="00114E94">
        <w:rPr>
          <w:rStyle w:val="normaltextrun"/>
          <w:rFonts w:ascii="Arial" w:hAnsi="Arial" w:cs="Arial"/>
          <w:i/>
          <w:iCs/>
          <w:sz w:val="22"/>
          <w:szCs w:val="22"/>
          <w:lang w:val="fr-CH"/>
        </w:rPr>
        <w:t>2.3.2</w:t>
      </w:r>
      <w:r w:rsidR="007F7A13" w:rsidRPr="002D0D60">
        <w:rPr>
          <w:rStyle w:val="normaltextrun"/>
          <w:rFonts w:ascii="Arial" w:hAnsi="Arial" w:cs="Arial"/>
          <w:i/>
          <w:iCs/>
          <w:sz w:val="22"/>
          <w:szCs w:val="22"/>
          <w:lang w:val="fr-CH"/>
        </w:rPr>
        <w:fldChar w:fldCharType="end"/>
      </w:r>
      <w:r w:rsidR="00B51167" w:rsidRPr="002D0D60">
        <w:rPr>
          <w:rStyle w:val="normaltextrun"/>
          <w:rFonts w:ascii="Arial" w:hAnsi="Arial" w:cs="Arial"/>
          <w:sz w:val="22"/>
          <w:szCs w:val="22"/>
          <w:lang w:val="fr-CH"/>
        </w:rPr>
        <w:t>).</w:t>
      </w:r>
      <w:r w:rsidR="00B51167" w:rsidRPr="002D0D60">
        <w:rPr>
          <w:rStyle w:val="eop"/>
          <w:rFonts w:ascii="Arial" w:hAnsi="Arial" w:cs="Arial"/>
          <w:sz w:val="22"/>
          <w:szCs w:val="22"/>
          <w:lang w:val="fr-CH"/>
        </w:rPr>
        <w:t> </w:t>
      </w:r>
    </w:p>
    <w:p w14:paraId="53BFF73A" w14:textId="337B5E21" w:rsidR="00B51167" w:rsidRPr="002D0D60" w:rsidRDefault="003E1A1C" w:rsidP="00B51167">
      <w:pPr>
        <w:pStyle w:val="paragraph"/>
        <w:numPr>
          <w:ilvl w:val="0"/>
          <w:numId w:val="30"/>
        </w:numPr>
        <w:textAlignment w:val="baseline"/>
        <w:rPr>
          <w:rFonts w:ascii="Arial" w:hAnsi="Arial" w:cs="Arial"/>
          <w:sz w:val="22"/>
          <w:szCs w:val="22"/>
          <w:lang w:val="fr-CH"/>
        </w:rPr>
      </w:pPr>
      <w:r w:rsidRPr="002D0D60">
        <w:rPr>
          <w:rStyle w:val="normaltextrun"/>
          <w:rFonts w:ascii="Arial" w:hAnsi="Arial" w:cs="Arial"/>
          <w:sz w:val="22"/>
          <w:szCs w:val="22"/>
          <w:lang w:val="fr-CH"/>
        </w:rPr>
        <w:t xml:space="preserve">La révision augmente </w:t>
      </w:r>
      <w:r w:rsidR="001C4CC8" w:rsidRPr="002D0D60">
        <w:rPr>
          <w:rStyle w:val="normaltextrun"/>
          <w:rFonts w:ascii="Arial" w:hAnsi="Arial" w:cs="Arial"/>
          <w:sz w:val="22"/>
          <w:szCs w:val="22"/>
          <w:lang w:val="fr-CH"/>
        </w:rPr>
        <w:t xml:space="preserve">d’un facteur 100 </w:t>
      </w:r>
      <w:r w:rsidRPr="002D0D60">
        <w:rPr>
          <w:rStyle w:val="normaltextrun"/>
          <w:rFonts w:ascii="Arial" w:hAnsi="Arial" w:cs="Arial"/>
          <w:sz w:val="22"/>
          <w:szCs w:val="22"/>
          <w:lang w:val="fr-CH"/>
        </w:rPr>
        <w:t xml:space="preserve">la dose de </w:t>
      </w:r>
      <w:r w:rsidR="009B7608" w:rsidRPr="002D0D60">
        <w:rPr>
          <w:rStyle w:val="normaltextrun"/>
          <w:rFonts w:ascii="Arial" w:hAnsi="Arial" w:cs="Arial"/>
          <w:sz w:val="22"/>
          <w:szCs w:val="22"/>
          <w:lang w:val="fr-CH"/>
        </w:rPr>
        <w:t xml:space="preserve">radiation admissible </w:t>
      </w:r>
      <w:r w:rsidR="00591B1E" w:rsidRPr="002D0D60">
        <w:rPr>
          <w:rStyle w:val="normaltextrun"/>
          <w:rFonts w:ascii="Arial" w:hAnsi="Arial" w:cs="Arial"/>
          <w:sz w:val="22"/>
          <w:szCs w:val="22"/>
          <w:lang w:val="fr-CH"/>
        </w:rPr>
        <w:t>pour les accidents fréquents et rares</w:t>
      </w:r>
      <w:r w:rsidR="001C4CC8" w:rsidRPr="002D0D60">
        <w:rPr>
          <w:rStyle w:val="normaltextrun"/>
          <w:rFonts w:ascii="Arial" w:hAnsi="Arial" w:cs="Arial"/>
          <w:sz w:val="22"/>
          <w:szCs w:val="22"/>
          <w:lang w:val="fr-CH"/>
        </w:rPr>
        <w:t xml:space="preserve">, exposant la population </w:t>
      </w:r>
      <w:r w:rsidR="005A2C71" w:rsidRPr="002D0D60">
        <w:rPr>
          <w:rStyle w:val="normaltextrun"/>
          <w:rFonts w:ascii="Arial" w:hAnsi="Arial" w:cs="Arial"/>
          <w:sz w:val="22"/>
          <w:szCs w:val="22"/>
          <w:lang w:val="fr-CH"/>
        </w:rPr>
        <w:t xml:space="preserve">à des risques radiologiques intolérables </w:t>
      </w:r>
      <w:r w:rsidR="00B51167" w:rsidRPr="002D0D60">
        <w:rPr>
          <w:rStyle w:val="normaltextrun"/>
          <w:rFonts w:ascii="Arial" w:hAnsi="Arial" w:cs="Arial"/>
          <w:i/>
          <w:iCs/>
          <w:sz w:val="22"/>
          <w:szCs w:val="22"/>
          <w:lang w:val="fr-CH"/>
        </w:rPr>
        <w:t>(</w:t>
      </w:r>
      <w:r w:rsidR="005A2C71" w:rsidRPr="002D0D60">
        <w:rPr>
          <w:rStyle w:val="normaltextrun"/>
          <w:rFonts w:ascii="Arial" w:hAnsi="Arial" w:cs="Arial"/>
          <w:i/>
          <w:iCs/>
          <w:sz w:val="22"/>
          <w:szCs w:val="22"/>
          <w:lang w:val="fr-CH"/>
        </w:rPr>
        <w:t>voir</w:t>
      </w:r>
      <w:r w:rsidR="00B51167" w:rsidRPr="002D0D60">
        <w:rPr>
          <w:rStyle w:val="normaltextrun"/>
          <w:rFonts w:ascii="Arial" w:hAnsi="Arial" w:cs="Arial"/>
          <w:i/>
          <w:iCs/>
          <w:sz w:val="22"/>
          <w:szCs w:val="22"/>
          <w:lang w:val="fr-CH"/>
        </w:rPr>
        <w:t xml:space="preserve"> </w:t>
      </w:r>
      <w:r w:rsidR="007F7A13" w:rsidRPr="002D0D60">
        <w:rPr>
          <w:rStyle w:val="normaltextrun"/>
          <w:rFonts w:ascii="Arial" w:hAnsi="Arial" w:cs="Arial"/>
          <w:i/>
          <w:iCs/>
          <w:sz w:val="22"/>
          <w:szCs w:val="22"/>
          <w:lang w:val="fr-CH"/>
        </w:rPr>
        <w:fldChar w:fldCharType="begin"/>
      </w:r>
      <w:r w:rsidR="007F7A13" w:rsidRPr="002D0D60">
        <w:rPr>
          <w:rStyle w:val="normaltextrun"/>
          <w:rFonts w:ascii="Arial" w:hAnsi="Arial" w:cs="Arial"/>
          <w:i/>
          <w:iCs/>
          <w:sz w:val="22"/>
          <w:szCs w:val="22"/>
          <w:lang w:val="fr-CH"/>
        </w:rPr>
        <w:instrText xml:space="preserve"> REF _Ref507064634 \r \h </w:instrText>
      </w:r>
      <w:r w:rsidR="007F7A13" w:rsidRPr="002D0D60">
        <w:rPr>
          <w:rStyle w:val="normaltextrun"/>
          <w:rFonts w:ascii="Arial" w:hAnsi="Arial" w:cs="Arial"/>
          <w:i/>
          <w:iCs/>
          <w:sz w:val="22"/>
          <w:szCs w:val="22"/>
          <w:lang w:val="fr-CH"/>
        </w:rPr>
      </w:r>
      <w:r w:rsidR="007F7A13" w:rsidRPr="002D0D60">
        <w:rPr>
          <w:rStyle w:val="normaltextrun"/>
          <w:rFonts w:ascii="Arial" w:hAnsi="Arial" w:cs="Arial"/>
          <w:i/>
          <w:iCs/>
          <w:sz w:val="22"/>
          <w:szCs w:val="22"/>
          <w:lang w:val="fr-CH"/>
        </w:rPr>
        <w:fldChar w:fldCharType="separate"/>
      </w:r>
      <w:r w:rsidR="00114E94">
        <w:rPr>
          <w:rStyle w:val="normaltextrun"/>
          <w:rFonts w:ascii="Arial" w:hAnsi="Arial" w:cs="Arial"/>
          <w:i/>
          <w:iCs/>
          <w:sz w:val="22"/>
          <w:szCs w:val="22"/>
          <w:lang w:val="fr-CH"/>
        </w:rPr>
        <w:t>2.3.3</w:t>
      </w:r>
      <w:r w:rsidR="007F7A13" w:rsidRPr="002D0D60">
        <w:rPr>
          <w:rStyle w:val="normaltextrun"/>
          <w:rFonts w:ascii="Arial" w:hAnsi="Arial" w:cs="Arial"/>
          <w:i/>
          <w:iCs/>
          <w:sz w:val="22"/>
          <w:szCs w:val="22"/>
          <w:lang w:val="fr-CH"/>
        </w:rPr>
        <w:fldChar w:fldCharType="end"/>
      </w:r>
      <w:r w:rsidR="007F7A13" w:rsidRPr="002D0D60">
        <w:rPr>
          <w:rStyle w:val="normaltextrun"/>
          <w:rFonts w:ascii="Arial" w:hAnsi="Arial" w:cs="Arial"/>
          <w:i/>
          <w:iCs/>
          <w:sz w:val="22"/>
          <w:szCs w:val="22"/>
          <w:lang w:val="fr-CH"/>
        </w:rPr>
        <w:t xml:space="preserve"> </w:t>
      </w:r>
      <w:r w:rsidR="005A2C71" w:rsidRPr="002D0D60">
        <w:rPr>
          <w:rStyle w:val="normaltextrun"/>
          <w:rFonts w:ascii="Arial" w:hAnsi="Arial" w:cs="Arial"/>
          <w:i/>
          <w:iCs/>
          <w:sz w:val="22"/>
          <w:szCs w:val="22"/>
          <w:lang w:val="fr-CH"/>
        </w:rPr>
        <w:t>et</w:t>
      </w:r>
      <w:r w:rsidR="00B51167" w:rsidRPr="002D0D60">
        <w:rPr>
          <w:rStyle w:val="normaltextrun"/>
          <w:rFonts w:ascii="Arial" w:hAnsi="Arial" w:cs="Arial"/>
          <w:i/>
          <w:iCs/>
          <w:sz w:val="22"/>
          <w:szCs w:val="22"/>
          <w:lang w:val="fr-CH"/>
        </w:rPr>
        <w:t xml:space="preserve"> </w:t>
      </w:r>
      <w:r w:rsidR="007F7A13" w:rsidRPr="002D0D60">
        <w:rPr>
          <w:rStyle w:val="normaltextrun"/>
          <w:rFonts w:ascii="Arial" w:hAnsi="Arial" w:cs="Arial"/>
          <w:i/>
          <w:iCs/>
          <w:sz w:val="22"/>
          <w:szCs w:val="22"/>
          <w:lang w:val="fr-CH"/>
        </w:rPr>
        <w:fldChar w:fldCharType="begin"/>
      </w:r>
      <w:r w:rsidR="007F7A13" w:rsidRPr="002D0D60">
        <w:rPr>
          <w:rStyle w:val="normaltextrun"/>
          <w:rFonts w:ascii="Arial" w:hAnsi="Arial" w:cs="Arial"/>
          <w:i/>
          <w:iCs/>
          <w:sz w:val="22"/>
          <w:szCs w:val="22"/>
          <w:lang w:val="fr-CH"/>
        </w:rPr>
        <w:instrText xml:space="preserve"> REF _Ref506888112 \r \h </w:instrText>
      </w:r>
      <w:r w:rsidR="007F7A13" w:rsidRPr="002D0D60">
        <w:rPr>
          <w:rStyle w:val="normaltextrun"/>
          <w:rFonts w:ascii="Arial" w:hAnsi="Arial" w:cs="Arial"/>
          <w:i/>
          <w:iCs/>
          <w:sz w:val="22"/>
          <w:szCs w:val="22"/>
          <w:lang w:val="fr-CH"/>
        </w:rPr>
      </w:r>
      <w:r w:rsidR="007F7A13" w:rsidRPr="002D0D60">
        <w:rPr>
          <w:rStyle w:val="normaltextrun"/>
          <w:rFonts w:ascii="Arial" w:hAnsi="Arial" w:cs="Arial"/>
          <w:i/>
          <w:iCs/>
          <w:sz w:val="22"/>
          <w:szCs w:val="22"/>
          <w:lang w:val="fr-CH"/>
        </w:rPr>
        <w:fldChar w:fldCharType="separate"/>
      </w:r>
      <w:r w:rsidR="00114E94">
        <w:rPr>
          <w:rStyle w:val="normaltextrun"/>
          <w:rFonts w:ascii="Arial" w:hAnsi="Arial" w:cs="Arial"/>
          <w:i/>
          <w:iCs/>
          <w:sz w:val="22"/>
          <w:szCs w:val="22"/>
          <w:lang w:val="fr-CH"/>
        </w:rPr>
        <w:t>2.3.7</w:t>
      </w:r>
      <w:r w:rsidR="007F7A13" w:rsidRPr="002D0D60">
        <w:rPr>
          <w:rStyle w:val="normaltextrun"/>
          <w:rFonts w:ascii="Arial" w:hAnsi="Arial" w:cs="Arial"/>
          <w:i/>
          <w:iCs/>
          <w:sz w:val="22"/>
          <w:szCs w:val="22"/>
          <w:lang w:val="fr-CH"/>
        </w:rPr>
        <w:fldChar w:fldCharType="end"/>
      </w:r>
      <w:r w:rsidR="00B51167" w:rsidRPr="002D0D60">
        <w:rPr>
          <w:rStyle w:val="normaltextrun"/>
          <w:rFonts w:ascii="Arial" w:hAnsi="Arial" w:cs="Arial"/>
          <w:i/>
          <w:iCs/>
          <w:sz w:val="22"/>
          <w:szCs w:val="22"/>
          <w:lang w:val="fr-CH"/>
        </w:rPr>
        <w:t>).</w:t>
      </w:r>
      <w:r w:rsidR="00B51167" w:rsidRPr="002D0D60">
        <w:rPr>
          <w:rStyle w:val="eop"/>
          <w:rFonts w:ascii="Arial" w:hAnsi="Arial" w:cs="Arial"/>
          <w:sz w:val="22"/>
          <w:szCs w:val="22"/>
          <w:lang w:val="fr-CH"/>
        </w:rPr>
        <w:t> </w:t>
      </w:r>
    </w:p>
    <w:p w14:paraId="067C5C2B" w14:textId="5C02DD1D" w:rsidR="00B51167" w:rsidRPr="002D0D60" w:rsidRDefault="005A2C71" w:rsidP="00B51167">
      <w:pPr>
        <w:pStyle w:val="paragraph"/>
        <w:numPr>
          <w:ilvl w:val="0"/>
          <w:numId w:val="30"/>
        </w:numPr>
        <w:textAlignment w:val="baseline"/>
        <w:rPr>
          <w:rFonts w:ascii="Arial" w:hAnsi="Arial" w:cs="Arial"/>
          <w:sz w:val="22"/>
          <w:szCs w:val="22"/>
          <w:lang w:val="fr-CH"/>
        </w:rPr>
      </w:pPr>
      <w:r w:rsidRPr="002D0D60">
        <w:rPr>
          <w:rStyle w:val="normaltextrun"/>
          <w:rFonts w:ascii="Arial" w:hAnsi="Arial" w:cs="Arial"/>
          <w:sz w:val="22"/>
          <w:szCs w:val="22"/>
          <w:lang w:val="fr-CH"/>
        </w:rPr>
        <w:t xml:space="preserve">La révision </w:t>
      </w:r>
      <w:r w:rsidR="009E183C">
        <w:rPr>
          <w:rStyle w:val="normaltextrun"/>
          <w:rFonts w:ascii="Arial" w:hAnsi="Arial" w:cs="Arial"/>
          <w:sz w:val="22"/>
          <w:szCs w:val="22"/>
          <w:lang w:val="fr-CH"/>
        </w:rPr>
        <w:t>limite</w:t>
      </w:r>
      <w:r w:rsidRPr="002D0D60">
        <w:rPr>
          <w:rStyle w:val="normaltextrun"/>
          <w:rFonts w:ascii="Arial" w:hAnsi="Arial" w:cs="Arial"/>
          <w:sz w:val="22"/>
          <w:szCs w:val="22"/>
          <w:lang w:val="fr-CH"/>
        </w:rPr>
        <w:t xml:space="preserve"> le champ d’application des critères de mise hors service </w:t>
      </w:r>
      <w:r w:rsidR="009E183C">
        <w:rPr>
          <w:rStyle w:val="normaltextrun"/>
          <w:rFonts w:ascii="Arial" w:hAnsi="Arial" w:cs="Arial"/>
          <w:sz w:val="22"/>
          <w:szCs w:val="22"/>
          <w:lang w:val="fr-CH"/>
        </w:rPr>
        <w:t xml:space="preserve">à </w:t>
      </w:r>
      <w:r w:rsidR="00AD308C">
        <w:rPr>
          <w:rStyle w:val="normaltextrun"/>
          <w:rFonts w:ascii="Arial" w:hAnsi="Arial" w:cs="Arial"/>
          <w:sz w:val="22"/>
          <w:szCs w:val="22"/>
          <w:lang w:val="fr-CH"/>
        </w:rPr>
        <w:t>une</w:t>
      </w:r>
      <w:r w:rsidR="00287F8E" w:rsidRPr="002D0D60">
        <w:rPr>
          <w:rStyle w:val="normaltextrun"/>
          <w:rFonts w:ascii="Arial" w:hAnsi="Arial" w:cs="Arial"/>
          <w:sz w:val="22"/>
          <w:szCs w:val="22"/>
          <w:lang w:val="fr-CH"/>
        </w:rPr>
        <w:t xml:space="preserve"> défaillance du refroidissement du cœur</w:t>
      </w:r>
      <w:r w:rsidR="008D13E7" w:rsidRPr="002D0D60">
        <w:rPr>
          <w:rStyle w:val="normaltextrun"/>
          <w:rFonts w:ascii="Arial" w:hAnsi="Arial" w:cs="Arial"/>
          <w:sz w:val="22"/>
          <w:szCs w:val="22"/>
          <w:lang w:val="fr-CH"/>
        </w:rPr>
        <w:t xml:space="preserve">. Ceci revient à </w:t>
      </w:r>
      <w:r w:rsidR="00AD308C">
        <w:rPr>
          <w:rStyle w:val="normaltextrun"/>
          <w:rFonts w:ascii="Arial" w:hAnsi="Arial" w:cs="Arial"/>
          <w:sz w:val="22"/>
          <w:szCs w:val="22"/>
          <w:lang w:val="fr-CH"/>
        </w:rPr>
        <w:t>supprimer</w:t>
      </w:r>
      <w:r w:rsidR="008D13E7" w:rsidRPr="002D0D60">
        <w:rPr>
          <w:rStyle w:val="normaltextrun"/>
          <w:rFonts w:ascii="Arial" w:hAnsi="Arial" w:cs="Arial"/>
          <w:sz w:val="22"/>
          <w:szCs w:val="22"/>
          <w:lang w:val="fr-CH"/>
        </w:rPr>
        <w:t xml:space="preserve">, dans </w:t>
      </w:r>
      <w:r w:rsidR="009E183C">
        <w:rPr>
          <w:rStyle w:val="normaltextrun"/>
          <w:rFonts w:ascii="Arial" w:hAnsi="Arial" w:cs="Arial"/>
          <w:sz w:val="22"/>
          <w:szCs w:val="22"/>
          <w:lang w:val="fr-CH"/>
        </w:rPr>
        <w:t>les</w:t>
      </w:r>
      <w:r w:rsidR="008D13E7" w:rsidRPr="002D0D60">
        <w:rPr>
          <w:rStyle w:val="normaltextrun"/>
          <w:rFonts w:ascii="Arial" w:hAnsi="Arial" w:cs="Arial"/>
          <w:sz w:val="22"/>
          <w:szCs w:val="22"/>
          <w:lang w:val="fr-CH"/>
        </w:rPr>
        <w:t xml:space="preserve"> ordonnances existantes, des enseignements primordiaux </w:t>
      </w:r>
      <w:r w:rsidR="00AD308C">
        <w:rPr>
          <w:rStyle w:val="normaltextrun"/>
          <w:rFonts w:ascii="Arial" w:hAnsi="Arial" w:cs="Arial"/>
          <w:sz w:val="22"/>
          <w:szCs w:val="22"/>
          <w:lang w:val="fr-CH"/>
        </w:rPr>
        <w:t xml:space="preserve">tirés </w:t>
      </w:r>
      <w:r w:rsidR="008D13E7" w:rsidRPr="002D0D60">
        <w:rPr>
          <w:rStyle w:val="normaltextrun"/>
          <w:rFonts w:ascii="Arial" w:hAnsi="Arial" w:cs="Arial"/>
          <w:sz w:val="22"/>
          <w:szCs w:val="22"/>
          <w:lang w:val="fr-CH"/>
        </w:rPr>
        <w:t xml:space="preserve">de la catastrophe de </w:t>
      </w:r>
      <w:r w:rsidR="00AD308C">
        <w:rPr>
          <w:rStyle w:val="normaltextrun"/>
          <w:rFonts w:ascii="Arial" w:hAnsi="Arial" w:cs="Arial"/>
          <w:sz w:val="22"/>
          <w:szCs w:val="22"/>
          <w:lang w:val="fr-CH"/>
        </w:rPr>
        <w:t>Fukushima</w:t>
      </w:r>
      <w:r w:rsidR="006E7F08" w:rsidRPr="002D0D60">
        <w:rPr>
          <w:rStyle w:val="normaltextrun"/>
          <w:rFonts w:ascii="Arial" w:hAnsi="Arial" w:cs="Arial"/>
          <w:sz w:val="22"/>
          <w:szCs w:val="22"/>
          <w:lang w:val="fr-CH"/>
        </w:rPr>
        <w:t xml:space="preserve"> </w:t>
      </w:r>
      <w:r w:rsidR="00B51167" w:rsidRPr="002D0D60">
        <w:rPr>
          <w:rStyle w:val="normaltextrun"/>
          <w:rFonts w:ascii="Arial" w:hAnsi="Arial" w:cs="Arial"/>
          <w:i/>
          <w:iCs/>
          <w:sz w:val="22"/>
          <w:szCs w:val="22"/>
          <w:lang w:val="fr-CH"/>
        </w:rPr>
        <w:t>(</w:t>
      </w:r>
      <w:r w:rsidR="006E7F08" w:rsidRPr="002D0D60">
        <w:rPr>
          <w:rStyle w:val="normaltextrun"/>
          <w:rFonts w:ascii="Arial" w:hAnsi="Arial" w:cs="Arial"/>
          <w:i/>
          <w:iCs/>
          <w:sz w:val="22"/>
          <w:szCs w:val="22"/>
          <w:lang w:val="fr-CH"/>
        </w:rPr>
        <w:t>voir</w:t>
      </w:r>
      <w:r w:rsidR="00B51167" w:rsidRPr="002D0D60">
        <w:rPr>
          <w:rStyle w:val="normaltextrun"/>
          <w:rFonts w:ascii="Arial" w:hAnsi="Arial" w:cs="Arial"/>
          <w:i/>
          <w:iCs/>
          <w:sz w:val="22"/>
          <w:szCs w:val="22"/>
          <w:lang w:val="fr-CH"/>
        </w:rPr>
        <w:t xml:space="preserve"> </w:t>
      </w:r>
      <w:r w:rsidR="007F7A13" w:rsidRPr="002D0D60">
        <w:rPr>
          <w:rStyle w:val="normaltextrun"/>
          <w:rFonts w:ascii="Arial" w:hAnsi="Arial" w:cs="Arial"/>
          <w:i/>
          <w:iCs/>
          <w:sz w:val="22"/>
          <w:szCs w:val="22"/>
          <w:lang w:val="fr-CH"/>
        </w:rPr>
        <w:fldChar w:fldCharType="begin"/>
      </w:r>
      <w:r w:rsidR="007F7A13" w:rsidRPr="002D0D60">
        <w:rPr>
          <w:rStyle w:val="normaltextrun"/>
          <w:rFonts w:ascii="Arial" w:hAnsi="Arial" w:cs="Arial"/>
          <w:i/>
          <w:iCs/>
          <w:sz w:val="22"/>
          <w:szCs w:val="22"/>
          <w:lang w:val="fr-CH"/>
        </w:rPr>
        <w:instrText xml:space="preserve"> REF _Ref507064661 \r \h </w:instrText>
      </w:r>
      <w:r w:rsidR="007F7A13" w:rsidRPr="002D0D60">
        <w:rPr>
          <w:rStyle w:val="normaltextrun"/>
          <w:rFonts w:ascii="Arial" w:hAnsi="Arial" w:cs="Arial"/>
          <w:i/>
          <w:iCs/>
          <w:sz w:val="22"/>
          <w:szCs w:val="22"/>
          <w:lang w:val="fr-CH"/>
        </w:rPr>
      </w:r>
      <w:r w:rsidR="007F7A13" w:rsidRPr="002D0D60">
        <w:rPr>
          <w:rStyle w:val="normaltextrun"/>
          <w:rFonts w:ascii="Arial" w:hAnsi="Arial" w:cs="Arial"/>
          <w:i/>
          <w:iCs/>
          <w:sz w:val="22"/>
          <w:szCs w:val="22"/>
          <w:lang w:val="fr-CH"/>
        </w:rPr>
        <w:fldChar w:fldCharType="separate"/>
      </w:r>
      <w:r w:rsidR="00114E94">
        <w:rPr>
          <w:rStyle w:val="normaltextrun"/>
          <w:rFonts w:ascii="Arial" w:hAnsi="Arial" w:cs="Arial"/>
          <w:i/>
          <w:iCs/>
          <w:sz w:val="22"/>
          <w:szCs w:val="22"/>
          <w:lang w:val="fr-CH"/>
        </w:rPr>
        <w:t>2.3.4</w:t>
      </w:r>
      <w:r w:rsidR="007F7A13" w:rsidRPr="002D0D60">
        <w:rPr>
          <w:rStyle w:val="normaltextrun"/>
          <w:rFonts w:ascii="Arial" w:hAnsi="Arial" w:cs="Arial"/>
          <w:i/>
          <w:iCs/>
          <w:sz w:val="22"/>
          <w:szCs w:val="22"/>
          <w:lang w:val="fr-CH"/>
        </w:rPr>
        <w:fldChar w:fldCharType="end"/>
      </w:r>
      <w:r w:rsidR="00B51167" w:rsidRPr="002D0D60">
        <w:rPr>
          <w:rStyle w:val="normaltextrun"/>
          <w:rFonts w:ascii="Arial" w:hAnsi="Arial" w:cs="Arial"/>
          <w:i/>
          <w:iCs/>
          <w:sz w:val="22"/>
          <w:szCs w:val="22"/>
          <w:lang w:val="fr-CH"/>
        </w:rPr>
        <w:t>).</w:t>
      </w:r>
      <w:r w:rsidR="00B51167" w:rsidRPr="002D0D60">
        <w:rPr>
          <w:rStyle w:val="eop"/>
          <w:rFonts w:ascii="Arial" w:hAnsi="Arial" w:cs="Arial"/>
          <w:sz w:val="22"/>
          <w:szCs w:val="22"/>
          <w:lang w:val="fr-CH"/>
        </w:rPr>
        <w:t> </w:t>
      </w:r>
    </w:p>
    <w:p w14:paraId="4338F875" w14:textId="4FE802B1" w:rsidR="00CF529A" w:rsidRPr="002D0D60" w:rsidRDefault="006E7F08" w:rsidP="0029207C">
      <w:pPr>
        <w:pStyle w:val="paragraph"/>
        <w:numPr>
          <w:ilvl w:val="0"/>
          <w:numId w:val="30"/>
        </w:numPr>
        <w:spacing w:after="200" w:line="276" w:lineRule="auto"/>
        <w:textAlignment w:val="baseline"/>
        <w:rPr>
          <w:rStyle w:val="eop"/>
          <w:rFonts w:ascii="Arial" w:hAnsi="Arial" w:cs="Arial"/>
          <w:color w:val="FF0000"/>
          <w:lang w:val="fr-CH"/>
        </w:rPr>
      </w:pPr>
      <w:r w:rsidRPr="002D0D60">
        <w:rPr>
          <w:rStyle w:val="normaltextrun"/>
          <w:rFonts w:ascii="Arial" w:hAnsi="Arial" w:cs="Arial"/>
          <w:sz w:val="22"/>
          <w:szCs w:val="22"/>
          <w:lang w:val="fr-CH"/>
        </w:rPr>
        <w:t>La révision permet aux</w:t>
      </w:r>
      <w:r w:rsidR="00EB79AB" w:rsidRPr="002D0D60">
        <w:rPr>
          <w:rStyle w:val="normaltextrun"/>
          <w:rFonts w:ascii="Arial" w:hAnsi="Arial" w:cs="Arial"/>
          <w:sz w:val="22"/>
          <w:szCs w:val="22"/>
          <w:lang w:val="fr-CH"/>
        </w:rPr>
        <w:t xml:space="preserve"> exploitants des CN de renoncer, à l’avenir, </w:t>
      </w:r>
      <w:r w:rsidRPr="002D0D60">
        <w:rPr>
          <w:rStyle w:val="normaltextrun"/>
          <w:rFonts w:ascii="Arial" w:hAnsi="Arial" w:cs="Arial"/>
          <w:sz w:val="22"/>
          <w:szCs w:val="22"/>
          <w:lang w:val="fr-CH"/>
        </w:rPr>
        <w:t xml:space="preserve">à examiner les conséquences d’événements naturels très rares </w:t>
      </w:r>
      <w:r w:rsidR="00B51167" w:rsidRPr="002D0D60">
        <w:rPr>
          <w:rStyle w:val="normaltextrun"/>
          <w:rFonts w:ascii="Arial" w:hAnsi="Arial" w:cs="Arial"/>
          <w:sz w:val="22"/>
          <w:szCs w:val="22"/>
          <w:lang w:val="fr-CH"/>
        </w:rPr>
        <w:t>(</w:t>
      </w:r>
      <w:r w:rsidRPr="002D0D60">
        <w:rPr>
          <w:rStyle w:val="normaltextrun"/>
          <w:rFonts w:ascii="Arial" w:hAnsi="Arial" w:cs="Arial"/>
          <w:i/>
          <w:iCs/>
          <w:sz w:val="22"/>
          <w:szCs w:val="22"/>
          <w:lang w:val="fr-CH"/>
        </w:rPr>
        <w:t>voir</w:t>
      </w:r>
      <w:r w:rsidR="00B51167" w:rsidRPr="002D0D60">
        <w:rPr>
          <w:rStyle w:val="normaltextrun"/>
          <w:rFonts w:ascii="Arial" w:hAnsi="Arial" w:cs="Arial"/>
          <w:i/>
          <w:iCs/>
          <w:sz w:val="22"/>
          <w:szCs w:val="22"/>
          <w:lang w:val="fr-CH"/>
        </w:rPr>
        <w:t xml:space="preserve"> </w:t>
      </w:r>
      <w:r w:rsidR="007F7A13" w:rsidRPr="002D0D60">
        <w:rPr>
          <w:rStyle w:val="normaltextrun"/>
          <w:rFonts w:ascii="Arial" w:hAnsi="Arial" w:cs="Arial"/>
          <w:i/>
          <w:iCs/>
          <w:sz w:val="22"/>
          <w:szCs w:val="22"/>
          <w:lang w:val="fr-CH"/>
        </w:rPr>
        <w:fldChar w:fldCharType="begin"/>
      </w:r>
      <w:r w:rsidR="007F7A13" w:rsidRPr="002D0D60">
        <w:rPr>
          <w:rStyle w:val="normaltextrun"/>
          <w:rFonts w:ascii="Arial" w:hAnsi="Arial" w:cs="Arial"/>
          <w:i/>
          <w:iCs/>
          <w:sz w:val="22"/>
          <w:szCs w:val="22"/>
          <w:lang w:val="fr-CH"/>
        </w:rPr>
        <w:instrText xml:space="preserve"> REF _Ref507064685 \r \h </w:instrText>
      </w:r>
      <w:r w:rsidR="007F7A13" w:rsidRPr="002D0D60">
        <w:rPr>
          <w:rStyle w:val="normaltextrun"/>
          <w:rFonts w:ascii="Arial" w:hAnsi="Arial" w:cs="Arial"/>
          <w:i/>
          <w:iCs/>
          <w:sz w:val="22"/>
          <w:szCs w:val="22"/>
          <w:lang w:val="fr-CH"/>
        </w:rPr>
      </w:r>
      <w:r w:rsidR="007F7A13" w:rsidRPr="002D0D60">
        <w:rPr>
          <w:rStyle w:val="normaltextrun"/>
          <w:rFonts w:ascii="Arial" w:hAnsi="Arial" w:cs="Arial"/>
          <w:i/>
          <w:iCs/>
          <w:sz w:val="22"/>
          <w:szCs w:val="22"/>
          <w:lang w:val="fr-CH"/>
        </w:rPr>
        <w:fldChar w:fldCharType="separate"/>
      </w:r>
      <w:r w:rsidR="00114E94">
        <w:rPr>
          <w:rStyle w:val="normaltextrun"/>
          <w:rFonts w:ascii="Arial" w:hAnsi="Arial" w:cs="Arial"/>
          <w:i/>
          <w:iCs/>
          <w:sz w:val="22"/>
          <w:szCs w:val="22"/>
          <w:lang w:val="fr-CH"/>
        </w:rPr>
        <w:t>2.3.5</w:t>
      </w:r>
      <w:r w:rsidR="007F7A13" w:rsidRPr="002D0D60">
        <w:rPr>
          <w:rStyle w:val="normaltextrun"/>
          <w:rFonts w:ascii="Arial" w:hAnsi="Arial" w:cs="Arial"/>
          <w:i/>
          <w:iCs/>
          <w:sz w:val="22"/>
          <w:szCs w:val="22"/>
          <w:lang w:val="fr-CH"/>
        </w:rPr>
        <w:fldChar w:fldCharType="end"/>
      </w:r>
      <w:r w:rsidR="00B51167" w:rsidRPr="002D0D60">
        <w:rPr>
          <w:rStyle w:val="normaltextrun"/>
          <w:rFonts w:ascii="Arial" w:hAnsi="Arial" w:cs="Arial"/>
          <w:sz w:val="22"/>
          <w:szCs w:val="22"/>
          <w:lang w:val="fr-CH"/>
        </w:rPr>
        <w:t>).</w:t>
      </w:r>
      <w:r w:rsidR="00B51167" w:rsidRPr="002D0D60">
        <w:rPr>
          <w:rStyle w:val="eop"/>
          <w:rFonts w:ascii="Arial" w:hAnsi="Arial" w:cs="Arial"/>
          <w:sz w:val="22"/>
          <w:szCs w:val="22"/>
          <w:lang w:val="fr-CH"/>
        </w:rPr>
        <w:t> </w:t>
      </w:r>
      <w:r w:rsidR="00CF529A" w:rsidRPr="002D0D60">
        <w:rPr>
          <w:rStyle w:val="eop"/>
          <w:rFonts w:ascii="Arial" w:hAnsi="Arial" w:cs="Arial"/>
          <w:color w:val="FF0000"/>
          <w:lang w:val="fr-CH"/>
        </w:rPr>
        <w:br w:type="page"/>
      </w:r>
    </w:p>
    <w:p w14:paraId="4C2A43B3" w14:textId="4C0F7E97" w:rsidR="003B0EE6" w:rsidRPr="002D0D60" w:rsidRDefault="00BD7606" w:rsidP="006865AE">
      <w:pPr>
        <w:pStyle w:val="berschrift1"/>
        <w:rPr>
          <w:lang w:val="fr-CH"/>
        </w:rPr>
      </w:pPr>
      <w:bookmarkStart w:id="3" w:name="_Toc509959544"/>
      <w:r>
        <w:rPr>
          <w:lang w:val="fr-CH"/>
        </w:rPr>
        <w:lastRenderedPageBreak/>
        <w:t>TH</w:t>
      </w:r>
      <w:r w:rsidRPr="00BD7606">
        <w:rPr>
          <w:caps/>
          <w:lang w:val="fr-CH"/>
        </w:rPr>
        <w:t>è</w:t>
      </w:r>
      <w:r>
        <w:rPr>
          <w:lang w:val="fr-CH"/>
        </w:rPr>
        <w:t>ME</w:t>
      </w:r>
      <w:r w:rsidR="007F7A13" w:rsidRPr="002D0D60">
        <w:rPr>
          <w:lang w:val="fr-CH"/>
        </w:rPr>
        <w:t xml:space="preserve"> 1</w:t>
      </w:r>
      <w:r w:rsidR="001669F3">
        <w:rPr>
          <w:lang w:val="fr-CH"/>
        </w:rPr>
        <w:t> :</w:t>
      </w:r>
      <w:r w:rsidR="007F7A13" w:rsidRPr="002D0D60">
        <w:rPr>
          <w:lang w:val="fr-CH"/>
        </w:rPr>
        <w:t xml:space="preserve"> </w:t>
      </w:r>
      <w:r w:rsidR="001669F3">
        <w:rPr>
          <w:lang w:val="fr-CH"/>
        </w:rPr>
        <w:t>ANALYSE DE D</w:t>
      </w:r>
      <w:r w:rsidR="001669F3" w:rsidRPr="001669F3">
        <w:rPr>
          <w:caps/>
          <w:lang w:val="fr-CH"/>
        </w:rPr>
        <w:t>é</w:t>
      </w:r>
      <w:r w:rsidR="001669F3">
        <w:rPr>
          <w:lang w:val="fr-CH"/>
        </w:rPr>
        <w:t xml:space="preserve">FAILLANCES ET MISE HORS </w:t>
      </w:r>
      <w:r w:rsidR="00883EFD">
        <w:rPr>
          <w:lang w:val="fr-CH"/>
        </w:rPr>
        <w:t xml:space="preserve">SERVICE </w:t>
      </w:r>
      <w:r w:rsidR="001669F3">
        <w:rPr>
          <w:lang w:val="fr-CH"/>
        </w:rPr>
        <w:t>PROVISOIRE</w:t>
      </w:r>
      <w:bookmarkEnd w:id="3"/>
    </w:p>
    <w:p w14:paraId="0C7417F3" w14:textId="3D84B141" w:rsidR="006865AE" w:rsidRPr="002D0D60" w:rsidRDefault="00857845" w:rsidP="003B0EE6">
      <w:pPr>
        <w:pStyle w:val="berschrift2"/>
        <w:rPr>
          <w:lang w:val="fr-CH"/>
        </w:rPr>
      </w:pPr>
      <w:bookmarkStart w:id="4" w:name="_Toc509959545"/>
      <w:r>
        <w:rPr>
          <w:lang w:val="fr-CH"/>
        </w:rPr>
        <w:t>DOSSIER DE C</w:t>
      </w:r>
      <w:r w:rsidR="009B6B8B">
        <w:rPr>
          <w:lang w:val="fr-CH"/>
        </w:rPr>
        <w:t>ONSULTATION</w:t>
      </w:r>
      <w:r w:rsidR="0009433B" w:rsidRPr="002D0D60">
        <w:rPr>
          <w:lang w:val="fr-CH"/>
        </w:rPr>
        <w:t xml:space="preserve"> </w:t>
      </w:r>
      <w:r>
        <w:rPr>
          <w:lang w:val="fr-CH"/>
        </w:rPr>
        <w:t>BIAIS</w:t>
      </w:r>
      <w:r w:rsidRPr="00857845">
        <w:rPr>
          <w:caps/>
          <w:lang w:val="fr-CH"/>
        </w:rPr>
        <w:t>é</w:t>
      </w:r>
      <w:bookmarkEnd w:id="4"/>
    </w:p>
    <w:p w14:paraId="2D956AD9" w14:textId="77777777" w:rsidR="00614BAF" w:rsidRPr="002D0D60" w:rsidRDefault="00614BAF" w:rsidP="00614BAF">
      <w:pPr>
        <w:rPr>
          <w:lang w:val="fr-CH"/>
        </w:rPr>
      </w:pPr>
    </w:p>
    <w:p w14:paraId="62C07BA8" w14:textId="74E98A6F" w:rsidR="003D411E" w:rsidRPr="002D0D60" w:rsidRDefault="00430C7E" w:rsidP="003D411E">
      <w:pPr>
        <w:rPr>
          <w:lang w:val="fr-CH"/>
        </w:rPr>
      </w:pPr>
      <w:r>
        <w:rPr>
          <w:lang w:val="fr-CH"/>
        </w:rPr>
        <w:t xml:space="preserve">La </w:t>
      </w:r>
      <w:r w:rsidR="00857845">
        <w:rPr>
          <w:lang w:val="fr-CH"/>
        </w:rPr>
        <w:t xml:space="preserve">question de l’avenir du nucléaire en Suisse a été </w:t>
      </w:r>
      <w:r w:rsidR="00BE4172">
        <w:rPr>
          <w:lang w:val="fr-CH"/>
        </w:rPr>
        <w:t xml:space="preserve">largement </w:t>
      </w:r>
      <w:r w:rsidR="00857845">
        <w:rPr>
          <w:lang w:val="fr-CH"/>
        </w:rPr>
        <w:t xml:space="preserve">tranchée par le rejet de l’initiative </w:t>
      </w:r>
      <w:r w:rsidR="003B7609">
        <w:rPr>
          <w:lang w:val="fr-CH"/>
        </w:rPr>
        <w:t xml:space="preserve">pour la sortie du nucléaire et l’adoption de la Stratégie énergétique </w:t>
      </w:r>
      <w:r w:rsidR="00290EC0" w:rsidRPr="002D0D60">
        <w:rPr>
          <w:lang w:val="fr-CH"/>
        </w:rPr>
        <w:t>2050</w:t>
      </w:r>
      <w:r>
        <w:rPr>
          <w:lang w:val="fr-CH"/>
        </w:rPr>
        <w:t>, comme l’admet le Conseil fédéral</w:t>
      </w:r>
      <w:r w:rsidR="00BE4172">
        <w:rPr>
          <w:lang w:val="fr-CH"/>
        </w:rPr>
        <w:t xml:space="preserve"> : aucune nouvelle centrale nucléaire (CN) ne sera construite, et les CN </w:t>
      </w:r>
      <w:r>
        <w:rPr>
          <w:lang w:val="fr-CH"/>
        </w:rPr>
        <w:t xml:space="preserve">existantes </w:t>
      </w:r>
      <w:r w:rsidR="00BE4172">
        <w:rPr>
          <w:lang w:val="fr-CH"/>
        </w:rPr>
        <w:t>restent en exploitation tant qu’elles sont sûres et économiquement viables</w:t>
      </w:r>
      <w:r w:rsidR="00290EC0" w:rsidRPr="002D0D60">
        <w:rPr>
          <w:rStyle w:val="Funotenzeichen"/>
          <w:lang w:val="fr-CH"/>
        </w:rPr>
        <w:footnoteReference w:id="1"/>
      </w:r>
      <w:r w:rsidR="00290EC0" w:rsidRPr="002D0D60">
        <w:rPr>
          <w:lang w:val="fr-CH"/>
        </w:rPr>
        <w:t xml:space="preserve">. </w:t>
      </w:r>
      <w:r>
        <w:rPr>
          <w:lang w:val="fr-CH"/>
        </w:rPr>
        <w:t>Dans le cadre du</w:t>
      </w:r>
      <w:r w:rsidR="00477558">
        <w:rPr>
          <w:lang w:val="fr-CH"/>
        </w:rPr>
        <w:t xml:space="preserve"> principe </w:t>
      </w:r>
      <w:r>
        <w:rPr>
          <w:lang w:val="fr-CH"/>
        </w:rPr>
        <w:t xml:space="preserve">de </w:t>
      </w:r>
      <w:r w:rsidR="00477558">
        <w:rPr>
          <w:lang w:val="fr-CH"/>
        </w:rPr>
        <w:t>« po</w:t>
      </w:r>
      <w:r w:rsidR="00477558" w:rsidRPr="00477558">
        <w:rPr>
          <w:lang w:val="fr-CH"/>
        </w:rPr>
        <w:t>ursuite de l’exploitation tant qu’elle est sûre »</w:t>
      </w:r>
      <w:r w:rsidR="00477558">
        <w:rPr>
          <w:lang w:val="fr-CH"/>
        </w:rPr>
        <w:t xml:space="preserve">, le terme « sûr » signifie que les exigences en matière de sécurité définies par la législation sont remplies. Ces exigences de sécurité jouent donc un rôle décisif pour la définition </w:t>
      </w:r>
      <w:r w:rsidR="00D746CC">
        <w:rPr>
          <w:lang w:val="fr-CH"/>
        </w:rPr>
        <w:t xml:space="preserve">du risque admissible, qui correspond pour la technologie en question à des dommages certes rares, mais d’autant plus </w:t>
      </w:r>
      <w:r>
        <w:rPr>
          <w:lang w:val="fr-CH"/>
        </w:rPr>
        <w:t>graves</w:t>
      </w:r>
      <w:r w:rsidR="00D746CC">
        <w:rPr>
          <w:lang w:val="fr-CH"/>
        </w:rPr>
        <w:t xml:space="preserve"> et durables</w:t>
      </w:r>
      <w:r w:rsidR="007E55CF" w:rsidRPr="002D0D60">
        <w:rPr>
          <w:lang w:val="fr-CH"/>
        </w:rPr>
        <w:t>.</w:t>
      </w:r>
    </w:p>
    <w:p w14:paraId="3BC89C01" w14:textId="77777777" w:rsidR="00436BE0" w:rsidRPr="002D0D60" w:rsidRDefault="00436BE0" w:rsidP="003D411E">
      <w:pPr>
        <w:rPr>
          <w:lang w:val="fr-CH"/>
        </w:rPr>
      </w:pPr>
    </w:p>
    <w:p w14:paraId="7185B1B2" w14:textId="345A3AB5" w:rsidR="00436BE0" w:rsidRPr="002D0D60" w:rsidRDefault="00D746CC" w:rsidP="003D411E">
      <w:pPr>
        <w:rPr>
          <w:lang w:val="fr-CH"/>
        </w:rPr>
      </w:pPr>
      <w:r>
        <w:rPr>
          <w:lang w:val="fr-CH"/>
        </w:rPr>
        <w:t xml:space="preserve">Or les riverains de </w:t>
      </w:r>
      <w:r w:rsidR="006008CB">
        <w:rPr>
          <w:lang w:val="fr-CH"/>
        </w:rPr>
        <w:t xml:space="preserve">la centrale nucléaire de </w:t>
      </w:r>
      <w:r>
        <w:rPr>
          <w:lang w:val="fr-CH"/>
        </w:rPr>
        <w:t>Beznau et plusieurs organisations environnementales</w:t>
      </w:r>
      <w:r w:rsidR="006C62CE">
        <w:rPr>
          <w:lang w:val="fr-CH"/>
        </w:rPr>
        <w:t xml:space="preserve"> </w:t>
      </w:r>
      <w:r w:rsidR="006008CB">
        <w:rPr>
          <w:lang w:val="fr-CH"/>
        </w:rPr>
        <w:t>doutent que ces exigences de sécurité soient intégralement respectées par la CN de Beznau</w:t>
      </w:r>
      <w:r w:rsidR="00D80B09">
        <w:rPr>
          <w:lang w:val="fr-CH"/>
        </w:rPr>
        <w:t>,</w:t>
      </w:r>
      <w:r w:rsidR="006008CB">
        <w:rPr>
          <w:lang w:val="fr-CH"/>
        </w:rPr>
        <w:t xml:space="preserve"> et ont donc entamé une action en justice.</w:t>
      </w:r>
      <w:r w:rsidR="00D80B09">
        <w:rPr>
          <w:lang w:val="fr-CH"/>
        </w:rPr>
        <w:t xml:space="preserve"> Leurs adversaires dans le cadre de cette procédure judiciaire (qualifiée de procédure Beznau ci-après) sont d’une part </w:t>
      </w:r>
      <w:r w:rsidR="00D80B09" w:rsidRPr="006C62CE">
        <w:rPr>
          <w:lang w:val="fr-CH"/>
        </w:rPr>
        <w:t>l’</w:t>
      </w:r>
      <w:r w:rsidR="00D80B09" w:rsidRPr="00D80B09">
        <w:rPr>
          <w:lang w:val="fr-CH"/>
        </w:rPr>
        <w:t>Inspection fédérale de la sécurité nucléaire</w:t>
      </w:r>
      <w:r w:rsidR="00D80B09">
        <w:rPr>
          <w:lang w:val="fr-CH"/>
        </w:rPr>
        <w:t xml:space="preserve"> (IFSN</w:t>
      </w:r>
      <w:r w:rsidR="00FA0653" w:rsidRPr="002D0D60">
        <w:rPr>
          <w:lang w:val="fr-CH"/>
        </w:rPr>
        <w:t>)</w:t>
      </w:r>
      <w:r w:rsidR="00D80B09">
        <w:rPr>
          <w:lang w:val="fr-CH"/>
        </w:rPr>
        <w:t xml:space="preserve">, qui autorise la poursuite de l’exploitation, et d’autre part l’exploitant de Beznau qui est l’entreprise </w:t>
      </w:r>
      <w:r w:rsidR="0042376B" w:rsidRPr="002D0D60">
        <w:rPr>
          <w:lang w:val="fr-CH"/>
        </w:rPr>
        <w:t>Axpo</w:t>
      </w:r>
      <w:r w:rsidR="00436BE0" w:rsidRPr="002D0D60">
        <w:rPr>
          <w:lang w:val="fr-CH"/>
        </w:rPr>
        <w:t>.</w:t>
      </w:r>
      <w:r w:rsidR="00C13271" w:rsidRPr="002D0D60">
        <w:rPr>
          <w:lang w:val="fr-CH"/>
        </w:rPr>
        <w:t xml:space="preserve"> </w:t>
      </w:r>
      <w:r w:rsidR="00D80B09">
        <w:rPr>
          <w:lang w:val="fr-CH"/>
        </w:rPr>
        <w:t xml:space="preserve">L’IFSN est l’autorité de surveillance compétente pour contrôler le respect des </w:t>
      </w:r>
      <w:r w:rsidR="00520DF7">
        <w:rPr>
          <w:lang w:val="fr-CH"/>
        </w:rPr>
        <w:t xml:space="preserve">exigences de sécurité. Comme pour toute autorité, il est possible d’attaquer les décisions de l’IFSN en justice pour vérifier leur conformité avec les bases légales. </w:t>
      </w:r>
      <w:r w:rsidR="002B349D">
        <w:rPr>
          <w:lang w:val="fr-CH"/>
        </w:rPr>
        <w:t xml:space="preserve">Selon le Tribunal fédéral, </w:t>
      </w:r>
      <w:r w:rsidR="001E23BD">
        <w:rPr>
          <w:lang w:val="fr-CH"/>
        </w:rPr>
        <w:t>l</w:t>
      </w:r>
      <w:r w:rsidR="002B349D">
        <w:rPr>
          <w:lang w:val="fr-CH"/>
        </w:rPr>
        <w:t xml:space="preserve">e recours en justice contre les décisions de l’IFSN permet un contrôle juridictionnel de l’exercice de la surveillance par l’IFSN, en vérifiant l’application correcte du droit de l’énergie nucléaire, et en garantissant ainsi le respect des mandats de protection en vertu des droits fondamentaux. Ceci contribue, </w:t>
      </w:r>
      <w:r w:rsidR="004F3D54">
        <w:rPr>
          <w:lang w:val="fr-CH"/>
        </w:rPr>
        <w:t xml:space="preserve">écrit le </w:t>
      </w:r>
      <w:r w:rsidR="002B349D">
        <w:rPr>
          <w:lang w:val="fr-CH"/>
        </w:rPr>
        <w:t xml:space="preserve">Tribunal fédéral, à une protection efficace et dynamique des droits fondamentaux et correspond au mandat de garantir </w:t>
      </w:r>
      <w:r w:rsidR="00065294">
        <w:rPr>
          <w:lang w:val="fr-CH"/>
        </w:rPr>
        <w:t>la</w:t>
      </w:r>
      <w:r w:rsidR="002B349D">
        <w:rPr>
          <w:lang w:val="fr-CH"/>
        </w:rPr>
        <w:t xml:space="preserve"> mise en œuvre des droits fondamentaux </w:t>
      </w:r>
      <w:r w:rsidR="00177F0D">
        <w:rPr>
          <w:lang w:val="fr-CH"/>
        </w:rPr>
        <w:t>en vertu du principe de la</w:t>
      </w:r>
      <w:r w:rsidR="002B349D">
        <w:rPr>
          <w:lang w:val="fr-CH"/>
        </w:rPr>
        <w:t xml:space="preserve"> séparation des </w:t>
      </w:r>
      <w:r w:rsidR="00177F0D">
        <w:rPr>
          <w:lang w:val="fr-CH"/>
        </w:rPr>
        <w:t>pouvoirs</w:t>
      </w:r>
      <w:r w:rsidR="007E55CF" w:rsidRPr="002D0D60">
        <w:rPr>
          <w:rStyle w:val="Funotenzeichen"/>
          <w:lang w:val="fr-CH"/>
        </w:rPr>
        <w:footnoteReference w:id="2"/>
      </w:r>
      <w:r w:rsidR="007E55CF" w:rsidRPr="002D0D60">
        <w:rPr>
          <w:lang w:val="fr-CH"/>
        </w:rPr>
        <w:t>.</w:t>
      </w:r>
    </w:p>
    <w:p w14:paraId="3DAB2F17" w14:textId="77777777" w:rsidR="00436BE0" w:rsidRPr="002D0D60" w:rsidRDefault="00436BE0" w:rsidP="003D411E">
      <w:pPr>
        <w:rPr>
          <w:lang w:val="fr-CH"/>
        </w:rPr>
      </w:pPr>
    </w:p>
    <w:p w14:paraId="00556E4A" w14:textId="1E7AAF86" w:rsidR="00112260" w:rsidRPr="002D0D60" w:rsidRDefault="00986E5E" w:rsidP="003D411E">
      <w:pPr>
        <w:rPr>
          <w:lang w:val="fr-CH"/>
        </w:rPr>
      </w:pPr>
      <w:r>
        <w:rPr>
          <w:lang w:val="fr-CH"/>
        </w:rPr>
        <w:t>Mais a</w:t>
      </w:r>
      <w:r w:rsidR="00841767">
        <w:rPr>
          <w:lang w:val="fr-CH"/>
        </w:rPr>
        <w:t xml:space="preserve">u lieu d’attendre le résultat de ce contrôle juridictionnel dans l’affaire en cours, le Conseil fédéral </w:t>
      </w:r>
      <w:r w:rsidR="00F8193C">
        <w:rPr>
          <w:lang w:val="fr-CH"/>
        </w:rPr>
        <w:t>s’empresse de modifier toutes les exigences de sécurité concernées par la procédure Beznau dans le sens voulu par l’IFSN. Il n’a aucun scrupule</w:t>
      </w:r>
      <w:r w:rsidR="00065294">
        <w:rPr>
          <w:lang w:val="fr-CH"/>
        </w:rPr>
        <w:t xml:space="preserve"> à contourner le principe de la séparation des pouvoirs souligné par le Tribunal fédéral en matière de protection des droits fondamentaux. </w:t>
      </w:r>
      <w:r w:rsidR="00B05EED">
        <w:rPr>
          <w:lang w:val="fr-CH"/>
        </w:rPr>
        <w:t xml:space="preserve">Le pouvoir exécutif légalise en urgence </w:t>
      </w:r>
      <w:r w:rsidR="00065294">
        <w:rPr>
          <w:lang w:val="fr-CH"/>
        </w:rPr>
        <w:t>la poursuite de l’exploitation de la CN d</w:t>
      </w:r>
      <w:r w:rsidR="00330B00">
        <w:rPr>
          <w:lang w:val="fr-CH"/>
        </w:rPr>
        <w:t>e Beznau</w:t>
      </w:r>
      <w:r w:rsidR="00B05EED">
        <w:rPr>
          <w:lang w:val="fr-CH"/>
        </w:rPr>
        <w:t>, par peur d’une décision des tribunaux confirmant l’illégalité de la poursuite de son exploitation</w:t>
      </w:r>
      <w:r w:rsidR="00330B00">
        <w:rPr>
          <w:lang w:val="fr-CH"/>
        </w:rPr>
        <w:t>.</w:t>
      </w:r>
      <w:r w:rsidR="00876E23">
        <w:rPr>
          <w:lang w:val="fr-CH"/>
        </w:rPr>
        <w:t xml:space="preserve"> Il semble que la définition de la « sécurité » </w:t>
      </w:r>
      <w:r w:rsidR="00B05EED">
        <w:rPr>
          <w:lang w:val="fr-CH"/>
        </w:rPr>
        <w:t xml:space="preserve">n’est valable que tant qu’elle ne remet </w:t>
      </w:r>
      <w:r w:rsidR="00B05EED">
        <w:rPr>
          <w:lang w:val="fr-CH"/>
        </w:rPr>
        <w:lastRenderedPageBreak/>
        <w:t>pas en question l’exploitation d’une centrale nucléaire très âgée. Et sinon, le droit actuel, qui a été défini</w:t>
      </w:r>
      <w:r w:rsidR="00362D76">
        <w:rPr>
          <w:lang w:val="fr-CH"/>
        </w:rPr>
        <w:t xml:space="preserve"> </w:t>
      </w:r>
      <w:r w:rsidR="00876E23">
        <w:rPr>
          <w:lang w:val="fr-CH"/>
        </w:rPr>
        <w:t xml:space="preserve">en fonction de l’expérience, de l’état des sciences et de la technique, et </w:t>
      </w:r>
      <w:r w:rsidR="00540668">
        <w:rPr>
          <w:lang w:val="fr-CH"/>
        </w:rPr>
        <w:t>en fonction de</w:t>
      </w:r>
      <w:r w:rsidR="00362D76">
        <w:rPr>
          <w:lang w:val="fr-CH"/>
        </w:rPr>
        <w:t xml:space="preserve"> l’évolution d</w:t>
      </w:r>
      <w:r w:rsidR="00876E23">
        <w:rPr>
          <w:lang w:val="fr-CH"/>
        </w:rPr>
        <w:t xml:space="preserve">es principes </w:t>
      </w:r>
      <w:r w:rsidR="00362D76">
        <w:rPr>
          <w:lang w:val="fr-CH"/>
        </w:rPr>
        <w:t>reconnus à l’échelle internationale</w:t>
      </w:r>
      <w:r w:rsidR="00B05EED">
        <w:rPr>
          <w:lang w:val="fr-CH"/>
        </w:rPr>
        <w:t>, est adapté en conséquence</w:t>
      </w:r>
      <w:r w:rsidR="00362D76">
        <w:rPr>
          <w:lang w:val="fr-CH"/>
        </w:rPr>
        <w:t xml:space="preserve">. Ainsi le principe </w:t>
      </w:r>
      <w:r w:rsidR="00362D76">
        <w:rPr>
          <w:rStyle w:val="normaltextrun"/>
          <w:rFonts w:ascii="Arial" w:hAnsi="Arial" w:cs="Arial"/>
          <w:lang w:val="fr-CH"/>
        </w:rPr>
        <w:t>« p</w:t>
      </w:r>
      <w:r w:rsidR="00362D76" w:rsidRPr="002D0D60">
        <w:rPr>
          <w:rStyle w:val="normaltextrun"/>
          <w:rFonts w:ascii="Arial" w:hAnsi="Arial" w:cs="Arial"/>
          <w:lang w:val="fr-CH"/>
        </w:rPr>
        <w:t>oursuite de l’exploitation tant qu’elle est sûre »</w:t>
      </w:r>
      <w:r w:rsidR="00362D76">
        <w:rPr>
          <w:rStyle w:val="normaltextrun"/>
          <w:rFonts w:ascii="Arial" w:hAnsi="Arial" w:cs="Arial"/>
          <w:lang w:val="fr-CH"/>
        </w:rPr>
        <w:t xml:space="preserve"> est totalement vidé de son contenu, et la confiance placée dans les institutions est </w:t>
      </w:r>
      <w:r w:rsidR="00B82E86">
        <w:rPr>
          <w:rStyle w:val="normaltextrun"/>
          <w:rFonts w:ascii="Arial" w:hAnsi="Arial" w:cs="Arial"/>
          <w:lang w:val="fr-CH"/>
        </w:rPr>
        <w:t>détruite</w:t>
      </w:r>
      <w:r w:rsidR="007A4407" w:rsidRPr="002D0D60">
        <w:rPr>
          <w:lang w:val="fr-CH"/>
        </w:rPr>
        <w:t>.</w:t>
      </w:r>
    </w:p>
    <w:p w14:paraId="34226BBB" w14:textId="77777777" w:rsidR="006F559D" w:rsidRPr="002D0D60" w:rsidRDefault="006F559D" w:rsidP="003D411E">
      <w:pPr>
        <w:rPr>
          <w:lang w:val="fr-CH"/>
        </w:rPr>
      </w:pPr>
    </w:p>
    <w:p w14:paraId="278BAA18" w14:textId="4EC1DCF4" w:rsidR="006F559D" w:rsidRPr="002D0D60" w:rsidRDefault="00B82E86" w:rsidP="003D411E">
      <w:pPr>
        <w:rPr>
          <w:lang w:val="fr-CH"/>
        </w:rPr>
      </w:pPr>
      <w:r>
        <w:rPr>
          <w:lang w:val="fr-CH"/>
        </w:rPr>
        <w:t xml:space="preserve">La simple lecture du rapport explicatif à propos de la révision entame </w:t>
      </w:r>
      <w:r w:rsidR="00DC2A6B">
        <w:rPr>
          <w:lang w:val="fr-CH"/>
        </w:rPr>
        <w:t>sérieusement</w:t>
      </w:r>
      <w:r>
        <w:rPr>
          <w:lang w:val="fr-CH"/>
        </w:rPr>
        <w:t xml:space="preserve"> cette confiance. Les vastes conséquences de cette révision partielle ne sont pas </w:t>
      </w:r>
      <w:r w:rsidR="00DC2A6B">
        <w:rPr>
          <w:lang w:val="fr-CH"/>
        </w:rPr>
        <w:t>évoquées</w:t>
      </w:r>
      <w:r>
        <w:rPr>
          <w:lang w:val="fr-CH"/>
        </w:rPr>
        <w:t>, ou alors totalement minimisées. L’ensemble de la révision vise à créer la fausse impression qu’il s’agirait d’une simple formalité. L</w:t>
      </w:r>
      <w:r w:rsidR="003E08BB">
        <w:rPr>
          <w:lang w:val="fr-CH"/>
        </w:rPr>
        <w:t xml:space="preserve">e rapport présente le </w:t>
      </w:r>
      <w:r>
        <w:rPr>
          <w:lang w:val="fr-CH"/>
        </w:rPr>
        <w:t xml:space="preserve">point de vue de l’IFSN comme la seule lecture correcte, </w:t>
      </w:r>
      <w:r w:rsidR="003E08BB">
        <w:rPr>
          <w:lang w:val="fr-CH"/>
        </w:rPr>
        <w:t xml:space="preserve">et balaie </w:t>
      </w:r>
      <w:r w:rsidR="00B84F30">
        <w:rPr>
          <w:lang w:val="fr-CH"/>
        </w:rPr>
        <w:t>les</w:t>
      </w:r>
      <w:r>
        <w:rPr>
          <w:lang w:val="fr-CH"/>
        </w:rPr>
        <w:t xml:space="preserve"> préoccupations des </w:t>
      </w:r>
      <w:r w:rsidR="00B84F30">
        <w:rPr>
          <w:lang w:val="fr-CH"/>
        </w:rPr>
        <w:t>plaignants</w:t>
      </w:r>
      <w:r w:rsidR="00DC2A6B">
        <w:rPr>
          <w:lang w:val="fr-CH"/>
        </w:rPr>
        <w:t>,</w:t>
      </w:r>
      <w:r w:rsidR="00B84F30">
        <w:rPr>
          <w:lang w:val="fr-CH"/>
        </w:rPr>
        <w:t xml:space="preserve"> </w:t>
      </w:r>
      <w:r w:rsidR="003E08BB">
        <w:rPr>
          <w:lang w:val="fr-CH"/>
        </w:rPr>
        <w:t>en insinuant que leur intention est d’</w:t>
      </w:r>
      <w:r w:rsidR="00B84F30">
        <w:rPr>
          <w:lang w:val="fr-CH"/>
        </w:rPr>
        <w:t xml:space="preserve">arrêter toutes les centrales coûte que coûte. </w:t>
      </w:r>
      <w:r w:rsidR="0073396C">
        <w:rPr>
          <w:lang w:val="fr-CH"/>
        </w:rPr>
        <w:t>Cette</w:t>
      </w:r>
      <w:r w:rsidR="003E08BB">
        <w:rPr>
          <w:lang w:val="fr-CH"/>
        </w:rPr>
        <w:t xml:space="preserve"> vision réductrice est erronée et trompeuse. </w:t>
      </w:r>
      <w:r w:rsidR="0073396C">
        <w:rPr>
          <w:lang w:val="fr-CH"/>
        </w:rPr>
        <w:t>Le rapport nie la requête de</w:t>
      </w:r>
      <w:r w:rsidR="003E08BB">
        <w:rPr>
          <w:lang w:val="fr-CH"/>
        </w:rPr>
        <w:t>s plaignants, qui est de faire respecter les objectifs de protection définis par l’or</w:t>
      </w:r>
      <w:r w:rsidR="0073396C">
        <w:rPr>
          <w:lang w:val="fr-CH"/>
        </w:rPr>
        <w:t xml:space="preserve">donnance sur la radioprotection, conformément </w:t>
      </w:r>
      <w:r w:rsidR="00C42349">
        <w:rPr>
          <w:lang w:val="fr-CH"/>
        </w:rPr>
        <w:t xml:space="preserve">aux exigences de </w:t>
      </w:r>
      <w:r w:rsidR="0073396C">
        <w:rPr>
          <w:lang w:val="fr-CH"/>
        </w:rPr>
        <w:t>la loi sur l’énergie nucléaire</w:t>
      </w:r>
      <w:r w:rsidR="00C42349">
        <w:rPr>
          <w:lang w:val="fr-CH"/>
        </w:rPr>
        <w:t>, et à celles de la C</w:t>
      </w:r>
      <w:r w:rsidR="0073396C">
        <w:rPr>
          <w:lang w:val="fr-CH"/>
        </w:rPr>
        <w:t xml:space="preserve">onvention internationale </w:t>
      </w:r>
      <w:r w:rsidR="00C42349">
        <w:rPr>
          <w:lang w:val="fr-CH"/>
        </w:rPr>
        <w:t>sur la sûreté nucléaire</w:t>
      </w:r>
      <w:r w:rsidR="00FA2880" w:rsidRPr="002D0D60">
        <w:rPr>
          <w:lang w:val="fr-CH"/>
        </w:rPr>
        <w:t>.</w:t>
      </w:r>
    </w:p>
    <w:p w14:paraId="3CE36457" w14:textId="77777777" w:rsidR="002C0AC9" w:rsidRPr="002D0D60" w:rsidRDefault="002C0AC9" w:rsidP="00460E4E">
      <w:pPr>
        <w:rPr>
          <w:lang w:val="fr-CH"/>
        </w:rPr>
      </w:pPr>
    </w:p>
    <w:p w14:paraId="0F4ADE40" w14:textId="611DAF44" w:rsidR="00460E4E" w:rsidRPr="002D0D60" w:rsidRDefault="00C42349" w:rsidP="00460E4E">
      <w:pPr>
        <w:rPr>
          <w:lang w:val="fr-CH"/>
        </w:rPr>
      </w:pPr>
      <w:r>
        <w:rPr>
          <w:lang w:val="fr-CH"/>
        </w:rPr>
        <w:t>Pour que l’IFSN puisse imposer son point de vue, la révision doit supprimer ou relever les valeurs limites déterminantes pour la mise hors service, éliminer les</w:t>
      </w:r>
      <w:r w:rsidR="007D7677">
        <w:rPr>
          <w:lang w:val="fr-CH"/>
        </w:rPr>
        <w:t xml:space="preserve"> renvois à la radiop</w:t>
      </w:r>
      <w:r w:rsidR="00953BDB">
        <w:rPr>
          <w:lang w:val="fr-CH"/>
        </w:rPr>
        <w:t xml:space="preserve">rotection et opérer des simplifications abusives </w:t>
      </w:r>
      <w:r w:rsidR="007A598F">
        <w:rPr>
          <w:lang w:val="fr-CH"/>
        </w:rPr>
        <w:t>en matière d</w:t>
      </w:r>
      <w:r w:rsidR="00953BDB">
        <w:rPr>
          <w:lang w:val="fr-CH"/>
        </w:rPr>
        <w:t>’</w:t>
      </w:r>
      <w:r w:rsidR="007A598F">
        <w:rPr>
          <w:lang w:val="fr-CH"/>
        </w:rPr>
        <w:t>appréciation de la sécurité. Ce procédé revient à un</w:t>
      </w:r>
      <w:r w:rsidR="009831A4">
        <w:rPr>
          <w:lang w:val="fr-CH"/>
        </w:rPr>
        <w:t>e</w:t>
      </w:r>
      <w:r w:rsidR="002C38A7">
        <w:rPr>
          <w:lang w:val="fr-CH"/>
        </w:rPr>
        <w:t xml:space="preserve"> réduction </w:t>
      </w:r>
      <w:r w:rsidR="009831A4">
        <w:rPr>
          <w:lang w:val="fr-CH"/>
        </w:rPr>
        <w:t>drastique des exigences de sécurité actuelles. C’est là un signal extrêmement problématique lancé à la population, six mois après l’adoption en votation de la sortie du nucléaire, et au vu de problèmes d’ampleur encore inconnue dans les centrales nucléaires vieil</w:t>
      </w:r>
      <w:r w:rsidR="00E72DD9">
        <w:rPr>
          <w:lang w:val="fr-CH"/>
        </w:rPr>
        <w:t>l</w:t>
      </w:r>
      <w:r w:rsidR="009831A4">
        <w:rPr>
          <w:lang w:val="fr-CH"/>
        </w:rPr>
        <w:t xml:space="preserve">issantes (cuve du réacteur </w:t>
      </w:r>
      <w:r w:rsidR="008824FE">
        <w:rPr>
          <w:lang w:val="fr-CH"/>
        </w:rPr>
        <w:t>B</w:t>
      </w:r>
      <w:r w:rsidR="0042376B" w:rsidRPr="002D0D60">
        <w:rPr>
          <w:lang w:val="fr-CH"/>
        </w:rPr>
        <w:t>eznau I,</w:t>
      </w:r>
      <w:r w:rsidR="00E72DD9">
        <w:rPr>
          <w:lang w:val="fr-CH"/>
        </w:rPr>
        <w:t xml:space="preserve"> oxydation de</w:t>
      </w:r>
      <w:r w:rsidR="0042376B" w:rsidRPr="002D0D60">
        <w:rPr>
          <w:lang w:val="fr-CH"/>
        </w:rPr>
        <w:t xml:space="preserve"> </w:t>
      </w:r>
      <w:r w:rsidR="00E72DD9">
        <w:rPr>
          <w:lang w:val="fr-CH"/>
        </w:rPr>
        <w:t>crayons combustibles</w:t>
      </w:r>
      <w:r w:rsidR="008824FE">
        <w:rPr>
          <w:lang w:val="fr-CH"/>
        </w:rPr>
        <w:t xml:space="preserve"> à la CN de </w:t>
      </w:r>
      <w:r w:rsidR="00E72DD9">
        <w:rPr>
          <w:lang w:val="fr-CH"/>
        </w:rPr>
        <w:t>Leibstadt).</w:t>
      </w:r>
    </w:p>
    <w:p w14:paraId="3660A752" w14:textId="77777777" w:rsidR="00460E4E" w:rsidRPr="002D0D60" w:rsidRDefault="00460E4E" w:rsidP="00460E4E">
      <w:pPr>
        <w:rPr>
          <w:lang w:val="fr-CH"/>
        </w:rPr>
      </w:pPr>
    </w:p>
    <w:p w14:paraId="5368B1E6" w14:textId="4174AE13" w:rsidR="00B85C6B" w:rsidRPr="002D0D60" w:rsidRDefault="00E72DD9" w:rsidP="00460E4E">
      <w:pPr>
        <w:rPr>
          <w:lang w:val="fr-CH"/>
        </w:rPr>
      </w:pPr>
      <w:r>
        <w:rPr>
          <w:lang w:val="fr-CH"/>
        </w:rPr>
        <w:t xml:space="preserve">Le procédé est d’autant plus choquant que cette réduction aboutit, de fait, à une nouvelle prolongation de la durée d’exploitation des centrales existantes. En démantelant les exigences de sécurité, on permet </w:t>
      </w:r>
      <w:r w:rsidR="00CE3781">
        <w:rPr>
          <w:lang w:val="fr-CH"/>
        </w:rPr>
        <w:t xml:space="preserve">que le niveau général des </w:t>
      </w:r>
      <w:r>
        <w:rPr>
          <w:lang w:val="fr-CH"/>
        </w:rPr>
        <w:t xml:space="preserve">installations </w:t>
      </w:r>
      <w:r w:rsidR="00CE3781">
        <w:rPr>
          <w:lang w:val="fr-CH"/>
        </w:rPr>
        <w:t xml:space="preserve">en matière de sécurité se dégrade. </w:t>
      </w:r>
      <w:r>
        <w:rPr>
          <w:lang w:val="fr-CH"/>
        </w:rPr>
        <w:t>Les limites d’exploitation définies par la législation (critères de mise hors service) ne seront ainsi atteintes que dans plusieurs décennies, puisque les risques admissibles sont drastiquement revus à la hausse. Cette manière de faire permet aussi d’éviter des rééquipements coûteux</w:t>
      </w:r>
      <w:r w:rsidR="004339F0">
        <w:rPr>
          <w:lang w:val="fr-CH"/>
        </w:rPr>
        <w:t xml:space="preserve">, qui pourraient donner lieu à une mise hors service définitive pour des raisons économiques. Le Conseil fédéral vise-t-il à permettre des durées d’exploitation de </w:t>
      </w:r>
      <w:r w:rsidR="00F0537D" w:rsidRPr="002D0D60">
        <w:rPr>
          <w:lang w:val="fr-CH"/>
        </w:rPr>
        <w:t xml:space="preserve">80 </w:t>
      </w:r>
      <w:r w:rsidR="004339F0">
        <w:rPr>
          <w:lang w:val="fr-CH"/>
        </w:rPr>
        <w:t xml:space="preserve">ans et même davantage ? Si c’est le cas, il </w:t>
      </w:r>
      <w:r w:rsidR="006D6B90">
        <w:rPr>
          <w:lang w:val="fr-CH"/>
        </w:rPr>
        <w:t xml:space="preserve">renie ses propres engagements pris dans le cadre de la Stratégie énergétique </w:t>
      </w:r>
      <w:r w:rsidR="00F0537D" w:rsidRPr="002D0D60">
        <w:rPr>
          <w:lang w:val="fr-CH"/>
        </w:rPr>
        <w:t>2050</w:t>
      </w:r>
      <w:r w:rsidR="00A13FDE" w:rsidRPr="002D0D60">
        <w:rPr>
          <w:lang w:val="fr-CH"/>
        </w:rPr>
        <w:t>.</w:t>
      </w:r>
    </w:p>
    <w:p w14:paraId="5CC78AA9" w14:textId="247CFFDB" w:rsidR="006865AE" w:rsidRPr="002D0D60" w:rsidRDefault="009A55EE" w:rsidP="00BB3735">
      <w:pPr>
        <w:pStyle w:val="berschrift2"/>
        <w:rPr>
          <w:lang w:val="fr-CH"/>
        </w:rPr>
      </w:pPr>
      <w:bookmarkStart w:id="5" w:name="_Toc509959546"/>
      <w:r>
        <w:rPr>
          <w:lang w:val="fr-CH"/>
        </w:rPr>
        <w:lastRenderedPageBreak/>
        <w:t>CONTOURNEMENT PROBL</w:t>
      </w:r>
      <w:r w:rsidRPr="009A55EE">
        <w:rPr>
          <w:caps/>
          <w:lang w:val="fr-CH"/>
        </w:rPr>
        <w:t>é</w:t>
      </w:r>
      <w:r>
        <w:rPr>
          <w:lang w:val="fr-CH"/>
        </w:rPr>
        <w:t xml:space="preserve">MATIQUE </w:t>
      </w:r>
      <w:r w:rsidRPr="00B71753">
        <w:rPr>
          <w:caps/>
          <w:lang w:val="fr-CH"/>
        </w:rPr>
        <w:t>DE L’État</w:t>
      </w:r>
      <w:r>
        <w:rPr>
          <w:lang w:val="fr-CH"/>
        </w:rPr>
        <w:t xml:space="preserve"> DE DROIT</w:t>
      </w:r>
      <w:bookmarkEnd w:id="5"/>
    </w:p>
    <w:p w14:paraId="5830CEE9" w14:textId="59E22686" w:rsidR="00614BAF" w:rsidRPr="002D0D60" w:rsidRDefault="009A55EE" w:rsidP="00614BAF">
      <w:pPr>
        <w:pStyle w:val="berschrift3"/>
        <w:rPr>
          <w:lang w:val="fr-CH"/>
        </w:rPr>
      </w:pPr>
      <w:bookmarkStart w:id="6" w:name="_Toc509959547"/>
      <w:r>
        <w:rPr>
          <w:lang w:val="fr-CH"/>
        </w:rPr>
        <w:t>Motivation insuffisante de la révision</w:t>
      </w:r>
      <w:bookmarkEnd w:id="6"/>
    </w:p>
    <w:p w14:paraId="6DD331CE" w14:textId="25661891" w:rsidR="00992557" w:rsidRPr="002D0D60" w:rsidRDefault="009A55EE" w:rsidP="00395967">
      <w:pPr>
        <w:rPr>
          <w:lang w:val="fr-CH"/>
        </w:rPr>
      </w:pPr>
      <w:r>
        <w:rPr>
          <w:lang w:val="fr-CH"/>
        </w:rPr>
        <w:t xml:space="preserve">Dans son rapport explicatif </w:t>
      </w:r>
      <w:r w:rsidR="009921FE">
        <w:rPr>
          <w:lang w:val="fr-CH"/>
        </w:rPr>
        <w:t xml:space="preserve">sur la mise en consultation, le Conseil fédéral </w:t>
      </w:r>
      <w:r w:rsidR="00714989">
        <w:rPr>
          <w:lang w:val="fr-CH"/>
        </w:rPr>
        <w:t>déclare que le point de départ de la révision est la procédure</w:t>
      </w:r>
      <w:r w:rsidR="005505E9" w:rsidRPr="002D0D60">
        <w:rPr>
          <w:lang w:val="fr-CH"/>
        </w:rPr>
        <w:t xml:space="preserve"> Beznau</w:t>
      </w:r>
      <w:r w:rsidR="00714989">
        <w:rPr>
          <w:lang w:val="fr-CH"/>
        </w:rPr>
        <w:t>. En tant que première instance de cette pro</w:t>
      </w:r>
      <w:r w:rsidR="00475252">
        <w:rPr>
          <w:lang w:val="fr-CH"/>
        </w:rPr>
        <w:t>cédure</w:t>
      </w:r>
      <w:r w:rsidR="00714989">
        <w:rPr>
          <w:lang w:val="fr-CH"/>
        </w:rPr>
        <w:t xml:space="preserve">, l’IFSN </w:t>
      </w:r>
      <w:r w:rsidR="00475252">
        <w:rPr>
          <w:lang w:val="fr-CH"/>
        </w:rPr>
        <w:t>a rejeté le point de vue des plaignants</w:t>
      </w:r>
      <w:r w:rsidR="00936712">
        <w:rPr>
          <w:lang w:val="fr-CH"/>
        </w:rPr>
        <w:t xml:space="preserve"> exprimé dans leur </w:t>
      </w:r>
      <w:r w:rsidR="00DA116B">
        <w:rPr>
          <w:lang w:val="fr-CH"/>
        </w:rPr>
        <w:t>requête</w:t>
      </w:r>
      <w:r w:rsidR="00D80781">
        <w:rPr>
          <w:lang w:val="fr-CH"/>
        </w:rPr>
        <w:t>. Ceci n’a rien d’</w:t>
      </w:r>
      <w:r w:rsidR="00936712">
        <w:rPr>
          <w:lang w:val="fr-CH"/>
        </w:rPr>
        <w:t>étonnant, vu</w:t>
      </w:r>
      <w:r w:rsidR="00EE33C8">
        <w:rPr>
          <w:lang w:val="fr-CH"/>
        </w:rPr>
        <w:t xml:space="preserve"> que l’IFSN </w:t>
      </w:r>
      <w:r w:rsidR="0043787D">
        <w:rPr>
          <w:lang w:val="fr-CH"/>
        </w:rPr>
        <w:t>a juste confirmé son point de vue</w:t>
      </w:r>
      <w:r w:rsidR="00EE33C8">
        <w:rPr>
          <w:lang w:val="fr-CH"/>
        </w:rPr>
        <w:t xml:space="preserve">. </w:t>
      </w:r>
      <w:r w:rsidR="00D80781">
        <w:rPr>
          <w:lang w:val="fr-CH"/>
        </w:rPr>
        <w:t xml:space="preserve">Les plaignants déboutés ont usé de leur droit de faire recours devant le </w:t>
      </w:r>
      <w:r w:rsidR="000D64E0">
        <w:rPr>
          <w:lang w:val="fr-CH"/>
        </w:rPr>
        <w:t>Tribunal administratif fédéral en tant qu’instance indépendante. Dans le rapport explicatif sur l’ouverture de la procédure de consultation, on lit ceci :</w:t>
      </w:r>
      <w:r w:rsidR="006F30DB">
        <w:rPr>
          <w:lang w:val="fr-CH"/>
        </w:rPr>
        <w:t xml:space="preserve"> </w:t>
      </w:r>
      <w:r w:rsidR="006F30DB" w:rsidRPr="006F30DB">
        <w:rPr>
          <w:i/>
          <w:lang w:val="fr-CH"/>
        </w:rPr>
        <w:t>« Cette décis</w:t>
      </w:r>
      <w:r w:rsidR="006F30DB">
        <w:rPr>
          <w:i/>
          <w:lang w:val="fr-CH"/>
        </w:rPr>
        <w:t>ion de l’IFSN faisant l’objet d’</w:t>
      </w:r>
      <w:r w:rsidR="006F30DB" w:rsidRPr="006F30DB">
        <w:rPr>
          <w:i/>
          <w:lang w:val="fr-CH"/>
        </w:rPr>
        <w:t>un recours auprès du Tribunal administratif fédéra</w:t>
      </w:r>
      <w:r w:rsidR="006F30DB">
        <w:rPr>
          <w:i/>
          <w:lang w:val="fr-CH"/>
        </w:rPr>
        <w:t>l, il convient de rétablir immé</w:t>
      </w:r>
      <w:r w:rsidR="006F30DB" w:rsidRPr="006F30DB">
        <w:rPr>
          <w:i/>
          <w:lang w:val="fr-CH"/>
        </w:rPr>
        <w:t>diatement la sécurité juridique sur cette question</w:t>
      </w:r>
      <w:r w:rsidR="006F30DB">
        <w:rPr>
          <w:i/>
          <w:lang w:val="fr-CH"/>
        </w:rPr>
        <w:t>. »</w:t>
      </w:r>
      <w:r w:rsidR="00395967" w:rsidRPr="002D0D60">
        <w:rPr>
          <w:rStyle w:val="Funotenzeichen"/>
          <w:i/>
          <w:lang w:val="fr-CH"/>
        </w:rPr>
        <w:footnoteReference w:id="3"/>
      </w:r>
      <w:r w:rsidR="00395967" w:rsidRPr="002D0D60">
        <w:rPr>
          <w:i/>
          <w:lang w:val="fr-CH"/>
        </w:rPr>
        <w:t> </w:t>
      </w:r>
      <w:r w:rsidR="006914C5">
        <w:rPr>
          <w:lang w:val="fr-CH"/>
        </w:rPr>
        <w:t xml:space="preserve">Une formulation </w:t>
      </w:r>
      <w:r w:rsidR="00BA3B7E">
        <w:rPr>
          <w:lang w:val="fr-CH"/>
        </w:rPr>
        <w:t xml:space="preserve">qui </w:t>
      </w:r>
      <w:r w:rsidR="00D17581">
        <w:rPr>
          <w:lang w:val="fr-CH"/>
        </w:rPr>
        <w:t>vise à brouiller la situation</w:t>
      </w:r>
      <w:r w:rsidR="00BA3B7E">
        <w:rPr>
          <w:lang w:val="fr-CH"/>
        </w:rPr>
        <w:t xml:space="preserve">. </w:t>
      </w:r>
      <w:r w:rsidR="00D17581">
        <w:rPr>
          <w:lang w:val="fr-CH"/>
        </w:rPr>
        <w:t>En effet, i</w:t>
      </w:r>
      <w:r w:rsidR="00BA3B7E">
        <w:rPr>
          <w:lang w:val="fr-CH"/>
        </w:rPr>
        <w:t>nvoquer le dépôt d’un recours contre une décision</w:t>
      </w:r>
      <w:r w:rsidR="009E183C">
        <w:rPr>
          <w:lang w:val="fr-CH"/>
        </w:rPr>
        <w:t>,</w:t>
      </w:r>
      <w:r w:rsidR="00BA3B7E">
        <w:rPr>
          <w:lang w:val="fr-CH"/>
        </w:rPr>
        <w:t xml:space="preserve"> comme argument principal justifiant une révision</w:t>
      </w:r>
      <w:r w:rsidR="00D17581">
        <w:rPr>
          <w:lang w:val="fr-CH"/>
        </w:rPr>
        <w:t xml:space="preserve"> de la législation</w:t>
      </w:r>
      <w:r w:rsidR="009E183C">
        <w:rPr>
          <w:lang w:val="fr-CH"/>
        </w:rPr>
        <w:t>,</w:t>
      </w:r>
      <w:r w:rsidR="00D17581">
        <w:rPr>
          <w:lang w:val="fr-CH"/>
        </w:rPr>
        <w:t xml:space="preserve"> équivaut purement et simplement à contourner l’État </w:t>
      </w:r>
      <w:r w:rsidR="00D24A69">
        <w:rPr>
          <w:lang w:val="fr-CH"/>
        </w:rPr>
        <w:t xml:space="preserve">de droit </w:t>
      </w:r>
      <w:r w:rsidR="00D17581">
        <w:rPr>
          <w:lang w:val="fr-CH"/>
        </w:rPr>
        <w:t>sur cet aspect</w:t>
      </w:r>
      <w:r w:rsidR="00395967" w:rsidRPr="002D0D60">
        <w:rPr>
          <w:lang w:val="fr-CH"/>
        </w:rPr>
        <w:t>.</w:t>
      </w:r>
    </w:p>
    <w:p w14:paraId="6F991F34" w14:textId="77777777" w:rsidR="00992557" w:rsidRPr="002D0D60" w:rsidRDefault="00992557" w:rsidP="00395967">
      <w:pPr>
        <w:rPr>
          <w:lang w:val="fr-CH"/>
        </w:rPr>
      </w:pPr>
    </w:p>
    <w:p w14:paraId="5FFF47EF" w14:textId="1D671B34" w:rsidR="00FF45A0" w:rsidRPr="002D0D60" w:rsidRDefault="00436860" w:rsidP="003B0EE6">
      <w:pPr>
        <w:rPr>
          <w:lang w:val="fr-CH"/>
        </w:rPr>
      </w:pPr>
      <w:r>
        <w:rPr>
          <w:lang w:val="fr-CH"/>
        </w:rPr>
        <w:t xml:space="preserve">La procédure </w:t>
      </w:r>
      <w:r w:rsidR="00C5403E">
        <w:rPr>
          <w:lang w:val="fr-CH"/>
        </w:rPr>
        <w:t>auprès de</w:t>
      </w:r>
      <w:r>
        <w:rPr>
          <w:lang w:val="fr-CH"/>
        </w:rPr>
        <w:t xml:space="preserve"> l’IFSN aurait montré</w:t>
      </w:r>
      <w:r w:rsidR="00E776E9">
        <w:rPr>
          <w:lang w:val="fr-CH"/>
        </w:rPr>
        <w:t>, selon le rapport explicatif,</w:t>
      </w:r>
      <w:r>
        <w:rPr>
          <w:lang w:val="fr-CH"/>
        </w:rPr>
        <w:t xml:space="preserve"> que </w:t>
      </w:r>
      <w:r w:rsidR="00F87BD7">
        <w:rPr>
          <w:lang w:val="fr-CH"/>
        </w:rPr>
        <w:t xml:space="preserve">la teneur des dispositions sur l’analyse de défaillances </w:t>
      </w:r>
      <w:r w:rsidR="008322BC">
        <w:rPr>
          <w:lang w:val="fr-CH"/>
        </w:rPr>
        <w:t xml:space="preserve">et </w:t>
      </w:r>
      <w:r w:rsidR="009E183C">
        <w:rPr>
          <w:lang w:val="fr-CH"/>
        </w:rPr>
        <w:t>sur la</w:t>
      </w:r>
      <w:r w:rsidR="008322BC">
        <w:rPr>
          <w:lang w:val="fr-CH"/>
        </w:rPr>
        <w:t xml:space="preserve"> mise hors service ne correspondrait pas </w:t>
      </w:r>
      <w:r w:rsidR="008322BC" w:rsidRPr="008322BC">
        <w:rPr>
          <w:i/>
          <w:lang w:val="fr-CH"/>
        </w:rPr>
        <w:t>« à la volonté initiale du Conseil fédéral »</w:t>
      </w:r>
      <w:r w:rsidR="00106605" w:rsidRPr="002D0D60">
        <w:rPr>
          <w:i/>
          <w:vertAlign w:val="superscript"/>
          <w:lang w:val="fr-CH"/>
        </w:rPr>
        <w:footnoteReference w:id="4"/>
      </w:r>
      <w:r w:rsidR="009E183C">
        <w:rPr>
          <w:lang w:val="fr-CH"/>
        </w:rPr>
        <w:t xml:space="preserve">, </w:t>
      </w:r>
      <w:r w:rsidR="00F35CAB">
        <w:rPr>
          <w:lang w:val="fr-CH"/>
        </w:rPr>
        <w:t>ne serait</w:t>
      </w:r>
      <w:r w:rsidR="00A445A3" w:rsidRPr="00A445A3">
        <w:rPr>
          <w:lang w:val="fr-CH"/>
        </w:rPr>
        <w:t xml:space="preserve"> </w:t>
      </w:r>
      <w:r w:rsidR="00A445A3" w:rsidRPr="00F35CAB">
        <w:rPr>
          <w:lang w:val="fr-CH"/>
        </w:rPr>
        <w:t>«</w:t>
      </w:r>
      <w:r w:rsidR="00A445A3" w:rsidRPr="00A445A3">
        <w:rPr>
          <w:i/>
          <w:lang w:val="fr-CH"/>
        </w:rPr>
        <w:t> pas suffisamment claire</w:t>
      </w:r>
      <w:r w:rsidR="00A445A3">
        <w:rPr>
          <w:i/>
          <w:lang w:val="fr-CH"/>
        </w:rPr>
        <w:t> »</w:t>
      </w:r>
      <w:r w:rsidR="00992557" w:rsidRPr="002D0D60">
        <w:rPr>
          <w:rStyle w:val="Funotenzeichen"/>
          <w:lang w:val="fr-CH"/>
        </w:rPr>
        <w:footnoteReference w:id="5"/>
      </w:r>
      <w:r w:rsidR="00385175">
        <w:rPr>
          <w:i/>
          <w:lang w:val="fr-CH"/>
        </w:rPr>
        <w:t xml:space="preserve"> </w:t>
      </w:r>
      <w:r w:rsidR="00385175" w:rsidRPr="00385175">
        <w:rPr>
          <w:lang w:val="fr-CH"/>
        </w:rPr>
        <w:t>et devrait donc être clarifiée le plus vite possible</w:t>
      </w:r>
      <w:r w:rsidR="00385175">
        <w:rPr>
          <w:i/>
          <w:lang w:val="fr-CH"/>
        </w:rPr>
        <w:t xml:space="preserve">. </w:t>
      </w:r>
      <w:r w:rsidR="009E183C">
        <w:rPr>
          <w:lang w:val="fr-CH"/>
        </w:rPr>
        <w:t>Ceci</w:t>
      </w:r>
      <w:r w:rsidR="00385175">
        <w:rPr>
          <w:lang w:val="fr-CH"/>
        </w:rPr>
        <w:t xml:space="preserve"> est</w:t>
      </w:r>
      <w:r w:rsidR="00C52FEF">
        <w:rPr>
          <w:lang w:val="fr-CH"/>
        </w:rPr>
        <w:t xml:space="preserve"> une affirmation dénuée de tout fondement, qui correspond exactement à la position de l’IFSN dans le cadre de la procédure Beznau. Les plaignants défendent au contraire le point de vue que la législation actuelle </w:t>
      </w:r>
      <w:r w:rsidR="00A4034C">
        <w:rPr>
          <w:lang w:val="fr-CH"/>
        </w:rPr>
        <w:t xml:space="preserve">est tout à fait cohérente. C’est justement sur cette divergence que se fonde le recours déposé </w:t>
      </w:r>
      <w:r w:rsidR="00E1706D">
        <w:rPr>
          <w:lang w:val="fr-CH"/>
        </w:rPr>
        <w:t>auprès du</w:t>
      </w:r>
      <w:r w:rsidR="00A4034C">
        <w:rPr>
          <w:lang w:val="fr-CH"/>
        </w:rPr>
        <w:t xml:space="preserve"> Tribunal administratif fédéral. </w:t>
      </w:r>
      <w:r w:rsidR="00E1706D">
        <w:rPr>
          <w:lang w:val="fr-CH"/>
        </w:rPr>
        <w:t xml:space="preserve">Or un tel reproche ne peut pas servir de justification à une révision : le but d’une procédure judiciaire est précisément de clarifier par une décision de tribunal, </w:t>
      </w:r>
      <w:r w:rsidR="004C21E3">
        <w:rPr>
          <w:lang w:val="fr-CH"/>
        </w:rPr>
        <w:t>au besoin</w:t>
      </w:r>
      <w:r w:rsidR="00E1706D">
        <w:rPr>
          <w:lang w:val="fr-CH"/>
        </w:rPr>
        <w:t xml:space="preserve">, les textes de loi </w:t>
      </w:r>
      <w:r w:rsidR="00E1706D" w:rsidRPr="00E1706D">
        <w:rPr>
          <w:lang w:val="fr-CH"/>
        </w:rPr>
        <w:t>nécessitant une interprétation.</w:t>
      </w:r>
      <w:r w:rsidR="00E1706D">
        <w:rPr>
          <w:lang w:val="fr-CH"/>
        </w:rPr>
        <w:t xml:space="preserve"> C’est bien là le rôle principal des tribunaux. Et ceci vaut d’autant plus que la révision indique comme objectif : </w:t>
      </w:r>
      <w:r w:rsidR="00E1706D" w:rsidRPr="00E1706D">
        <w:rPr>
          <w:i/>
          <w:lang w:val="fr-CH"/>
        </w:rPr>
        <w:t>« Les ordonnances doivent représenter clairement et sans équivoque la pratique actuelle. »</w:t>
      </w:r>
      <w:r w:rsidR="00FB19BD" w:rsidRPr="002D0D60">
        <w:rPr>
          <w:rStyle w:val="Funotenzeichen"/>
          <w:i/>
          <w:lang w:val="fr-CH"/>
        </w:rPr>
        <w:footnoteReference w:id="6"/>
      </w:r>
      <w:r w:rsidR="00E1706D">
        <w:rPr>
          <w:i/>
          <w:lang w:val="fr-CH"/>
        </w:rPr>
        <w:t xml:space="preserve">. </w:t>
      </w:r>
      <w:r w:rsidR="00E1706D">
        <w:rPr>
          <w:lang w:val="fr-CH"/>
        </w:rPr>
        <w:t>C’</w:t>
      </w:r>
      <w:r w:rsidR="00B94C79">
        <w:rPr>
          <w:lang w:val="fr-CH"/>
        </w:rPr>
        <w:t>est mettre la charrue</w:t>
      </w:r>
      <w:r w:rsidR="00E1706D">
        <w:rPr>
          <w:lang w:val="fr-CH"/>
        </w:rPr>
        <w:t xml:space="preserve"> avant les bœufs</w:t>
      </w:r>
      <w:r w:rsidR="000B0C50">
        <w:rPr>
          <w:lang w:val="fr-CH"/>
        </w:rPr>
        <w:t xml:space="preserve"> : dans un État </w:t>
      </w:r>
      <w:r w:rsidR="00F07B3D">
        <w:rPr>
          <w:lang w:val="fr-CH"/>
        </w:rPr>
        <w:t>de droit, c’est la pratique d’une autorité de surveillance qui doit se conformer à la loi, et non le contraire.</w:t>
      </w:r>
    </w:p>
    <w:p w14:paraId="637EB6CE" w14:textId="63EA6690" w:rsidR="00614BAF" w:rsidRPr="002D0D60" w:rsidRDefault="00242FAB" w:rsidP="00987DBD">
      <w:pPr>
        <w:pStyle w:val="berschrift3"/>
        <w:rPr>
          <w:lang w:val="fr-CH"/>
        </w:rPr>
      </w:pPr>
      <w:bookmarkStart w:id="7" w:name="_Toc509959548"/>
      <w:r>
        <w:rPr>
          <w:lang w:val="fr-CH"/>
        </w:rPr>
        <w:t>Prise de position unilatérale du Conseil fédéral</w:t>
      </w:r>
      <w:bookmarkEnd w:id="7"/>
    </w:p>
    <w:p w14:paraId="5E07EB82" w14:textId="426CC4B6" w:rsidR="005505E9" w:rsidRPr="002D0D60" w:rsidRDefault="00242FAB" w:rsidP="003B0EE6">
      <w:pPr>
        <w:rPr>
          <w:lang w:val="fr-CH"/>
        </w:rPr>
      </w:pPr>
      <w:r>
        <w:rPr>
          <w:lang w:val="fr-CH"/>
        </w:rPr>
        <w:t>La véritable raison de</w:t>
      </w:r>
      <w:r w:rsidR="006C5DC2">
        <w:rPr>
          <w:lang w:val="fr-CH"/>
        </w:rPr>
        <w:t xml:space="preserve"> cette révision des ordonnances est la crainte </w:t>
      </w:r>
      <w:r w:rsidR="003D7883">
        <w:rPr>
          <w:lang w:val="fr-CH"/>
        </w:rPr>
        <w:t xml:space="preserve">du Conseil fédéral que </w:t>
      </w:r>
      <w:r w:rsidR="00263396">
        <w:rPr>
          <w:i/>
          <w:lang w:val="fr-CH"/>
        </w:rPr>
        <w:t>« c</w:t>
      </w:r>
      <w:r w:rsidR="00263396" w:rsidRPr="00263396">
        <w:rPr>
          <w:i/>
          <w:lang w:val="fr-CH"/>
        </w:rPr>
        <w:t>ette interprétation juridique</w:t>
      </w:r>
      <w:r w:rsidR="00263396">
        <w:rPr>
          <w:i/>
          <w:lang w:val="fr-CH"/>
        </w:rPr>
        <w:t xml:space="preserve"> [défendue par les plaignants de la procédure Beznau]</w:t>
      </w:r>
      <w:r w:rsidR="00263396" w:rsidRPr="00263396">
        <w:rPr>
          <w:i/>
          <w:lang w:val="fr-CH"/>
        </w:rPr>
        <w:t xml:space="preserve"> se traduirait </w:t>
      </w:r>
      <w:r w:rsidR="00263396">
        <w:rPr>
          <w:i/>
          <w:lang w:val="fr-CH"/>
        </w:rPr>
        <w:t>par la mise hors service provisoire non seulement des CN de Be</w:t>
      </w:r>
      <w:r w:rsidR="00263396" w:rsidRPr="00263396">
        <w:rPr>
          <w:i/>
          <w:lang w:val="fr-CH"/>
        </w:rPr>
        <w:t xml:space="preserve">znau 1 et 2, mais vraisemblablement </w:t>
      </w:r>
      <w:r w:rsidR="00263396" w:rsidRPr="00263396">
        <w:rPr>
          <w:i/>
          <w:lang w:val="fr-CH"/>
        </w:rPr>
        <w:lastRenderedPageBreak/>
        <w:t>de</w:t>
      </w:r>
      <w:r w:rsidR="00263396">
        <w:rPr>
          <w:i/>
          <w:lang w:val="fr-CH"/>
        </w:rPr>
        <w:t xml:space="preserve"> toutes les centrales de Suisse. »</w:t>
      </w:r>
      <w:r w:rsidR="00B24036" w:rsidRPr="002D0D60">
        <w:rPr>
          <w:rStyle w:val="Funotenzeichen"/>
          <w:i/>
          <w:lang w:val="fr-CH"/>
        </w:rPr>
        <w:footnoteReference w:id="7"/>
      </w:r>
      <w:r w:rsidR="003B0EE6" w:rsidRPr="002D0D60">
        <w:rPr>
          <w:lang w:val="fr-CH"/>
        </w:rPr>
        <w:t xml:space="preserve"> </w:t>
      </w:r>
      <w:r w:rsidR="009E183C">
        <w:rPr>
          <w:lang w:val="fr-CH"/>
        </w:rPr>
        <w:t>Ce</w:t>
      </w:r>
      <w:r w:rsidR="00C87CC9">
        <w:rPr>
          <w:lang w:val="fr-CH"/>
        </w:rPr>
        <w:t>tte phrase trahit l’erreur du Conseil fédéral et son abus de pouvoir, à trois niveaux :</w:t>
      </w:r>
    </w:p>
    <w:p w14:paraId="66B4FB31" w14:textId="77777777" w:rsidR="005505E9" w:rsidRPr="002D0D60" w:rsidRDefault="005505E9" w:rsidP="003B0EE6">
      <w:pPr>
        <w:rPr>
          <w:lang w:val="fr-CH"/>
        </w:rPr>
      </w:pPr>
    </w:p>
    <w:p w14:paraId="59617DB5" w14:textId="31BF515D" w:rsidR="005F62A6" w:rsidRPr="002D0D60" w:rsidRDefault="00C87CC9" w:rsidP="005F62A6">
      <w:pPr>
        <w:pStyle w:val="Listenabsatz"/>
        <w:numPr>
          <w:ilvl w:val="0"/>
          <w:numId w:val="6"/>
        </w:numPr>
        <w:rPr>
          <w:lang w:val="fr-CH"/>
        </w:rPr>
      </w:pPr>
      <w:r>
        <w:rPr>
          <w:b/>
          <w:lang w:val="fr-CH"/>
        </w:rPr>
        <w:t>L’intention politique prime sur la sécurité définie par la loi :</w:t>
      </w:r>
      <w:r w:rsidR="00677A89" w:rsidRPr="002D0D60">
        <w:rPr>
          <w:lang w:val="fr-CH"/>
        </w:rPr>
        <w:t xml:space="preserve"> </w:t>
      </w:r>
      <w:r>
        <w:rPr>
          <w:lang w:val="fr-CH"/>
        </w:rPr>
        <w:t xml:space="preserve">la formulation implique que les CN suisses auraient </w:t>
      </w:r>
      <w:r w:rsidR="00D31C7A" w:rsidRPr="002D0D60">
        <w:rPr>
          <w:i/>
          <w:lang w:val="fr-CH"/>
        </w:rPr>
        <w:t>a priori</w:t>
      </w:r>
      <w:r w:rsidR="00D31C7A" w:rsidRPr="002D0D60">
        <w:rPr>
          <w:lang w:val="fr-CH"/>
        </w:rPr>
        <w:t xml:space="preserve"> </w:t>
      </w:r>
      <w:r>
        <w:rPr>
          <w:lang w:val="fr-CH"/>
        </w:rPr>
        <w:t xml:space="preserve">le droit de poursuivre leur exploitation. Au lieu de faire </w:t>
      </w:r>
      <w:r w:rsidRPr="00C87CC9">
        <w:rPr>
          <w:i/>
          <w:lang w:val="fr-CH"/>
        </w:rPr>
        <w:t>vérifier si</w:t>
      </w:r>
      <w:r>
        <w:rPr>
          <w:lang w:val="fr-CH"/>
        </w:rPr>
        <w:t xml:space="preserve"> la poursuite de l’exploitation est conforme à la loi, le Conseil fédéral entend remanier les textes des ordonnances de façon à ce que poursuite </w:t>
      </w:r>
      <w:r w:rsidR="007124FC">
        <w:rPr>
          <w:lang w:val="fr-CH"/>
        </w:rPr>
        <w:t xml:space="preserve">de l’exploitation soit </w:t>
      </w:r>
      <w:r w:rsidR="007124FC" w:rsidRPr="007124FC">
        <w:rPr>
          <w:i/>
          <w:lang w:val="fr-CH"/>
        </w:rPr>
        <w:t>dans tous les cas</w:t>
      </w:r>
      <w:r w:rsidR="007124FC">
        <w:rPr>
          <w:lang w:val="fr-CH"/>
        </w:rPr>
        <w:t xml:space="preserve"> en accord avec la loi. Une telle intervention est </w:t>
      </w:r>
      <w:r w:rsidR="00B13029">
        <w:rPr>
          <w:lang w:val="fr-CH"/>
        </w:rPr>
        <w:t>purement</w:t>
      </w:r>
      <w:r w:rsidR="007124FC">
        <w:rPr>
          <w:lang w:val="fr-CH"/>
        </w:rPr>
        <w:t xml:space="preserve"> politique : l’intention de poursuivre l’exploitation prime sur l’intention de garantir une exploitation sû</w:t>
      </w:r>
      <w:r w:rsidR="00AE6899">
        <w:rPr>
          <w:lang w:val="fr-CH"/>
        </w:rPr>
        <w:t>re.</w:t>
      </w:r>
    </w:p>
    <w:p w14:paraId="0A6665BA" w14:textId="77777777" w:rsidR="00BE310E" w:rsidRPr="002D0D60" w:rsidRDefault="00BE310E" w:rsidP="00BE310E">
      <w:pPr>
        <w:pStyle w:val="Listenabsatz"/>
        <w:numPr>
          <w:ilvl w:val="0"/>
          <w:numId w:val="0"/>
        </w:numPr>
        <w:ind w:left="360"/>
        <w:rPr>
          <w:lang w:val="fr-CH"/>
        </w:rPr>
      </w:pPr>
    </w:p>
    <w:p w14:paraId="655BD04E" w14:textId="2637B980" w:rsidR="00BE310E" w:rsidRPr="002D0D60" w:rsidRDefault="007B2754" w:rsidP="00BE310E">
      <w:pPr>
        <w:pStyle w:val="Listenabsatz"/>
        <w:numPr>
          <w:ilvl w:val="0"/>
          <w:numId w:val="6"/>
        </w:numPr>
        <w:rPr>
          <w:lang w:val="fr-CH"/>
        </w:rPr>
      </w:pPr>
      <w:r>
        <w:rPr>
          <w:b/>
          <w:lang w:val="fr-CH"/>
        </w:rPr>
        <w:t>Prise de position contre la protection de la population </w:t>
      </w:r>
      <w:r w:rsidRPr="007B2754">
        <w:rPr>
          <w:lang w:val="fr-CH"/>
        </w:rPr>
        <w:t>:</w:t>
      </w:r>
      <w:r w:rsidR="00BE310E" w:rsidRPr="007B2754">
        <w:rPr>
          <w:lang w:val="fr-CH"/>
        </w:rPr>
        <w:t xml:space="preserve"> </w:t>
      </w:r>
      <w:r>
        <w:rPr>
          <w:lang w:val="fr-CH"/>
        </w:rPr>
        <w:t>en motivant sa révision par l’intention de poursuivre l’exploitation d</w:t>
      </w:r>
      <w:r w:rsidR="00364EA8">
        <w:rPr>
          <w:lang w:val="fr-CH"/>
        </w:rPr>
        <w:t xml:space="preserve">e la CN, le Conseil fédéral </w:t>
      </w:r>
      <w:r>
        <w:rPr>
          <w:lang w:val="fr-CH"/>
        </w:rPr>
        <w:t xml:space="preserve">se met au service de l’exploitant. La révision reprend exactement </w:t>
      </w:r>
      <w:r w:rsidR="00393328">
        <w:rPr>
          <w:lang w:val="fr-CH"/>
        </w:rPr>
        <w:t xml:space="preserve">et de manière unilatérale </w:t>
      </w:r>
      <w:r>
        <w:rPr>
          <w:lang w:val="fr-CH"/>
        </w:rPr>
        <w:t xml:space="preserve">les positions formulées </w:t>
      </w:r>
      <w:r w:rsidR="009E183C">
        <w:rPr>
          <w:lang w:val="fr-CH"/>
        </w:rPr>
        <w:t>par</w:t>
      </w:r>
      <w:r w:rsidR="003946C2">
        <w:rPr>
          <w:lang w:val="fr-CH"/>
        </w:rPr>
        <w:t xml:space="preserve"> les mémoires de l’IFSN </w:t>
      </w:r>
      <w:r w:rsidR="00393328">
        <w:rPr>
          <w:lang w:val="fr-CH"/>
        </w:rPr>
        <w:t xml:space="preserve">dans le cadre de la procédure </w:t>
      </w:r>
      <w:r w:rsidR="00974603" w:rsidRPr="002D0D60">
        <w:rPr>
          <w:lang w:val="fr-CH"/>
        </w:rPr>
        <w:t>Beznau</w:t>
      </w:r>
      <w:r w:rsidR="00393328">
        <w:rPr>
          <w:lang w:val="fr-CH"/>
        </w:rPr>
        <w:t xml:space="preserve"> devant le Tribunal administratif fédéral. Le Conseil fédéral attaque ainsi la protection légale actuellement garantie à sa propre population. Cette prise de position unilatérale de la part du Conse</w:t>
      </w:r>
      <w:r w:rsidR="009E183C">
        <w:rPr>
          <w:lang w:val="fr-CH"/>
        </w:rPr>
        <w:t>il fédéral est choquante</w:t>
      </w:r>
      <w:r w:rsidR="00460E4E" w:rsidRPr="002D0D60">
        <w:rPr>
          <w:lang w:val="fr-CH"/>
        </w:rPr>
        <w:t>.</w:t>
      </w:r>
    </w:p>
    <w:p w14:paraId="29CBCC39" w14:textId="77777777" w:rsidR="00BE310E" w:rsidRPr="002D0D60" w:rsidRDefault="00BE310E" w:rsidP="00677A89">
      <w:pPr>
        <w:rPr>
          <w:lang w:val="fr-CH"/>
        </w:rPr>
      </w:pPr>
    </w:p>
    <w:p w14:paraId="54D794C0" w14:textId="611307EB" w:rsidR="00B62C90" w:rsidRPr="002D0D60" w:rsidRDefault="00393328" w:rsidP="00B62C90">
      <w:pPr>
        <w:pStyle w:val="Listenabsatz"/>
        <w:numPr>
          <w:ilvl w:val="0"/>
          <w:numId w:val="6"/>
        </w:numPr>
        <w:rPr>
          <w:lang w:val="fr-CH"/>
        </w:rPr>
      </w:pPr>
      <w:r>
        <w:rPr>
          <w:b/>
          <w:lang w:val="fr-CH"/>
        </w:rPr>
        <w:t>Contournement de la séparation des pouvoirs </w:t>
      </w:r>
      <w:r w:rsidRPr="00393328">
        <w:rPr>
          <w:lang w:val="fr-CH"/>
        </w:rPr>
        <w:t>:</w:t>
      </w:r>
      <w:r w:rsidR="00677A89" w:rsidRPr="002D0D60">
        <w:rPr>
          <w:b/>
          <w:lang w:val="fr-CH"/>
        </w:rPr>
        <w:t xml:space="preserve"> </w:t>
      </w:r>
      <w:r w:rsidR="00C5403E">
        <w:rPr>
          <w:lang w:val="fr-CH"/>
        </w:rPr>
        <w:t xml:space="preserve">ce n’est pas le rôle du Conseil fédéral que de </w:t>
      </w:r>
      <w:r w:rsidR="006B4C8D">
        <w:rPr>
          <w:lang w:val="fr-CH"/>
        </w:rPr>
        <w:t>disserter</w:t>
      </w:r>
      <w:r w:rsidR="00C5403E">
        <w:rPr>
          <w:lang w:val="fr-CH"/>
        </w:rPr>
        <w:t xml:space="preserve"> sur les conséquences qu’aurait </w:t>
      </w:r>
      <w:r w:rsidR="00C5403E" w:rsidRPr="00C5403E">
        <w:rPr>
          <w:i/>
          <w:lang w:val="fr-CH"/>
        </w:rPr>
        <w:t>« vraisemblablement </w:t>
      </w:r>
      <w:r w:rsidR="00C5403E">
        <w:rPr>
          <w:i/>
          <w:lang w:val="fr-CH"/>
        </w:rPr>
        <w:t>»</w:t>
      </w:r>
      <w:r w:rsidR="00C5403E">
        <w:rPr>
          <w:lang w:val="fr-CH"/>
        </w:rPr>
        <w:t xml:space="preserve"> l’interprétation juridique défendue par les plaignants dans le cadre de la procédure Beznau. Dans un État de droit, l’interprétation correcte de la législation revient aux tribunaux, comme nous l’avons explicité ci-des</w:t>
      </w:r>
      <w:r w:rsidR="009E183C">
        <w:rPr>
          <w:lang w:val="fr-CH"/>
        </w:rPr>
        <w:t xml:space="preserve">sus. La révision constitue un abus </w:t>
      </w:r>
      <w:r w:rsidR="00C5403E">
        <w:rPr>
          <w:lang w:val="fr-CH"/>
        </w:rPr>
        <w:t xml:space="preserve">hautement contestable du pouvoir exécutif </w:t>
      </w:r>
      <w:r w:rsidR="009E183C">
        <w:rPr>
          <w:lang w:val="fr-CH"/>
        </w:rPr>
        <w:t>par rapport au</w:t>
      </w:r>
      <w:r w:rsidR="00C5403E">
        <w:rPr>
          <w:lang w:val="fr-CH"/>
        </w:rPr>
        <w:t xml:space="preserve"> travail des juges</w:t>
      </w:r>
      <w:r w:rsidR="00BE310E" w:rsidRPr="002D0D60">
        <w:rPr>
          <w:lang w:val="fr-CH"/>
        </w:rPr>
        <w:t>.</w:t>
      </w:r>
    </w:p>
    <w:p w14:paraId="72C1203A" w14:textId="63B63A6F" w:rsidR="00B62C90" w:rsidRPr="002D0D60" w:rsidRDefault="00C5403E" w:rsidP="00B62C90">
      <w:pPr>
        <w:pStyle w:val="berschrift3"/>
        <w:rPr>
          <w:lang w:val="fr-CH"/>
        </w:rPr>
      </w:pPr>
      <w:bookmarkStart w:id="8" w:name="_Ref380065181"/>
      <w:bookmarkStart w:id="9" w:name="_Toc509959549"/>
      <w:r>
        <w:rPr>
          <w:lang w:val="fr-CH"/>
        </w:rPr>
        <w:t xml:space="preserve">Pratique </w:t>
      </w:r>
      <w:r w:rsidR="0066692E">
        <w:rPr>
          <w:lang w:val="fr-CH"/>
        </w:rPr>
        <w:t>inconsistante</w:t>
      </w:r>
      <w:r>
        <w:rPr>
          <w:lang w:val="fr-CH"/>
        </w:rPr>
        <w:t xml:space="preserve"> et dépassée de l’ISFN</w:t>
      </w:r>
      <w:bookmarkEnd w:id="8"/>
      <w:bookmarkEnd w:id="9"/>
    </w:p>
    <w:p w14:paraId="79AEB64A" w14:textId="7F8A514A" w:rsidR="00F95CB1" w:rsidRPr="002D0D60" w:rsidRDefault="0066692E" w:rsidP="00B62C90">
      <w:pPr>
        <w:rPr>
          <w:lang w:val="fr-CH"/>
        </w:rPr>
      </w:pPr>
      <w:r>
        <w:rPr>
          <w:lang w:val="fr-CH"/>
        </w:rPr>
        <w:t>Le rapport explicatif insinue que les dispositions actuelles seraient</w:t>
      </w:r>
      <w:r w:rsidR="00B62C90" w:rsidRPr="002D0D60">
        <w:rPr>
          <w:lang w:val="fr-CH"/>
        </w:rPr>
        <w:t xml:space="preserve"> </w:t>
      </w:r>
      <w:r w:rsidR="0004558F" w:rsidRPr="0004558F">
        <w:rPr>
          <w:i/>
          <w:lang w:val="fr-CH"/>
        </w:rPr>
        <w:t>« source de malentendus »</w:t>
      </w:r>
      <w:r w:rsidR="00B62C90" w:rsidRPr="002D0D60">
        <w:rPr>
          <w:rStyle w:val="Funotenzeichen"/>
          <w:i/>
          <w:lang w:val="fr-CH"/>
        </w:rPr>
        <w:footnoteReference w:id="8"/>
      </w:r>
      <w:r w:rsidR="00B62C90" w:rsidRPr="002D0D60">
        <w:rPr>
          <w:lang w:val="fr-CH"/>
        </w:rPr>
        <w:t xml:space="preserve"> </w:t>
      </w:r>
      <w:r w:rsidR="0004558F">
        <w:rPr>
          <w:lang w:val="fr-CH"/>
        </w:rPr>
        <w:t xml:space="preserve">ou </w:t>
      </w:r>
      <w:r w:rsidR="00816D1D">
        <w:rPr>
          <w:lang w:val="fr-CH"/>
        </w:rPr>
        <w:t>manqueraient de précision et de cohérence. Cette affirmation est fausse. L’a</w:t>
      </w:r>
      <w:r w:rsidR="004E49C5" w:rsidRPr="002D0D60">
        <w:rPr>
          <w:lang w:val="fr-CH"/>
        </w:rPr>
        <w:t xml:space="preserve">rt. 15 </w:t>
      </w:r>
      <w:r w:rsidR="00816D1D">
        <w:rPr>
          <w:lang w:val="fr-CH"/>
        </w:rPr>
        <w:t xml:space="preserve">de la </w:t>
      </w:r>
      <w:r w:rsidR="00816D1D" w:rsidRPr="002D0D60">
        <w:rPr>
          <w:lang w:val="fr-CH"/>
        </w:rPr>
        <w:t>Convention sur la sûreté nucléaire</w:t>
      </w:r>
      <w:r w:rsidR="004E49C5" w:rsidRPr="002D0D60">
        <w:rPr>
          <w:rStyle w:val="Funotenzeichen"/>
          <w:lang w:val="fr-CH"/>
        </w:rPr>
        <w:footnoteReference w:id="9"/>
      </w:r>
      <w:r w:rsidR="005A0985" w:rsidRPr="002D0D60">
        <w:rPr>
          <w:lang w:val="fr-CH"/>
        </w:rPr>
        <w:t xml:space="preserve"> </w:t>
      </w:r>
      <w:r w:rsidR="00816D1D">
        <w:rPr>
          <w:lang w:val="fr-CH"/>
        </w:rPr>
        <w:t>exige des mesures appropriées afin de garantir que personne ne soi</w:t>
      </w:r>
      <w:r w:rsidR="00113C16">
        <w:rPr>
          <w:lang w:val="fr-CH"/>
        </w:rPr>
        <w:t>t exposé à une dose de radiation dépassant la valeur limite fixée par le droit national. L’a</w:t>
      </w:r>
      <w:r w:rsidR="005A0985" w:rsidRPr="002D0D60">
        <w:rPr>
          <w:lang w:val="fr-CH"/>
        </w:rPr>
        <w:t xml:space="preserve">rt. 4 </w:t>
      </w:r>
      <w:r w:rsidR="00113C16">
        <w:rPr>
          <w:lang w:val="fr-CH"/>
        </w:rPr>
        <w:t>al</w:t>
      </w:r>
      <w:r w:rsidR="005A0985" w:rsidRPr="002D0D60">
        <w:rPr>
          <w:lang w:val="fr-CH"/>
        </w:rPr>
        <w:t>. 1</w:t>
      </w:r>
      <w:r w:rsidR="002B7BAE" w:rsidRPr="002D0D60">
        <w:rPr>
          <w:lang w:val="fr-CH"/>
        </w:rPr>
        <w:t xml:space="preserve"> </w:t>
      </w:r>
      <w:r w:rsidR="00336B6E">
        <w:rPr>
          <w:lang w:val="fr-CH"/>
        </w:rPr>
        <w:t>LENu concrétise cette exigence internationale en formulant une obligation de prendre des mesures contre une irradiation inadmissible des personnes</w:t>
      </w:r>
      <w:r w:rsidR="0025271E">
        <w:rPr>
          <w:lang w:val="fr-CH"/>
        </w:rPr>
        <w:t>,</w:t>
      </w:r>
      <w:r w:rsidR="00336B6E">
        <w:rPr>
          <w:lang w:val="fr-CH"/>
        </w:rPr>
        <w:t xml:space="preserve"> en </w:t>
      </w:r>
      <w:r w:rsidR="00E96FA4">
        <w:rPr>
          <w:lang w:val="fr-CH"/>
        </w:rPr>
        <w:t>phase d’</w:t>
      </w:r>
      <w:r w:rsidR="00AA738E" w:rsidRPr="00AA738E">
        <w:rPr>
          <w:lang w:val="fr-CH"/>
        </w:rPr>
        <w:t xml:space="preserve">exploitation normale </w:t>
      </w:r>
      <w:r w:rsidR="0025271E">
        <w:rPr>
          <w:lang w:val="fr-CH"/>
        </w:rPr>
        <w:t>comme</w:t>
      </w:r>
      <w:r w:rsidR="00AA738E">
        <w:rPr>
          <w:lang w:val="fr-CH"/>
        </w:rPr>
        <w:t xml:space="preserve"> en cas d’accident. L</w:t>
      </w:r>
      <w:r w:rsidR="00580013">
        <w:rPr>
          <w:lang w:val="fr-CH"/>
        </w:rPr>
        <w:t>es valeurs limites de dose correspondantes sont fixées à l’</w:t>
      </w:r>
      <w:r w:rsidR="00AA738E">
        <w:rPr>
          <w:lang w:val="fr-CH"/>
        </w:rPr>
        <w:t>a</w:t>
      </w:r>
      <w:r w:rsidR="002B7BAE" w:rsidRPr="002D0D60">
        <w:rPr>
          <w:lang w:val="fr-CH"/>
        </w:rPr>
        <w:t xml:space="preserve">rt. 123 </w:t>
      </w:r>
      <w:r w:rsidR="00AA738E">
        <w:rPr>
          <w:lang w:val="fr-CH"/>
        </w:rPr>
        <w:t>al</w:t>
      </w:r>
      <w:r w:rsidR="002B7BAE" w:rsidRPr="002D0D60">
        <w:rPr>
          <w:lang w:val="fr-CH"/>
        </w:rPr>
        <w:t xml:space="preserve">. 2 </w:t>
      </w:r>
      <w:r w:rsidR="00580013">
        <w:rPr>
          <w:lang w:val="fr-CH"/>
        </w:rPr>
        <w:t xml:space="preserve">ORaP pour les différentes catégories </w:t>
      </w:r>
      <w:r w:rsidR="00E96FA4">
        <w:rPr>
          <w:lang w:val="fr-CH"/>
        </w:rPr>
        <w:t>d’accidents</w:t>
      </w:r>
      <w:r w:rsidR="00580013">
        <w:rPr>
          <w:lang w:val="fr-CH"/>
        </w:rPr>
        <w:t xml:space="preserve">. La version actuelle de l’ordonnance de mise hors service </w:t>
      </w:r>
      <w:r w:rsidR="00034360">
        <w:rPr>
          <w:lang w:val="fr-CH"/>
        </w:rPr>
        <w:t>exige</w:t>
      </w:r>
      <w:r w:rsidR="00580013">
        <w:rPr>
          <w:lang w:val="fr-CH"/>
        </w:rPr>
        <w:t xml:space="preserve"> à l’a</w:t>
      </w:r>
      <w:r w:rsidR="00D70EDB" w:rsidRPr="002D0D60">
        <w:rPr>
          <w:lang w:val="fr-CH"/>
        </w:rPr>
        <w:t xml:space="preserve">rt. 3 </w:t>
      </w:r>
      <w:r w:rsidR="00580013">
        <w:rPr>
          <w:lang w:val="fr-CH"/>
        </w:rPr>
        <w:t>la mise ho</w:t>
      </w:r>
      <w:r w:rsidR="00034360">
        <w:rPr>
          <w:lang w:val="fr-CH"/>
        </w:rPr>
        <w:t xml:space="preserve">rs service provisoire immédiate </w:t>
      </w:r>
      <w:r w:rsidR="00580013">
        <w:rPr>
          <w:lang w:val="fr-CH"/>
        </w:rPr>
        <w:t xml:space="preserve">si </w:t>
      </w:r>
      <w:r w:rsidR="00A81E75">
        <w:rPr>
          <w:lang w:val="fr-CH"/>
        </w:rPr>
        <w:t>la vérification</w:t>
      </w:r>
      <w:r w:rsidR="00580013">
        <w:rPr>
          <w:lang w:val="fr-CH"/>
        </w:rPr>
        <w:t xml:space="preserve"> de la conception d’une CN </w:t>
      </w:r>
      <w:r w:rsidR="00034360">
        <w:rPr>
          <w:lang w:val="fr-CH"/>
        </w:rPr>
        <w:t xml:space="preserve">indique que ces valeurs limites de dose ne peuvent pas être respectées. Le rapport explicatif publié </w:t>
      </w:r>
      <w:r w:rsidR="0025271E">
        <w:rPr>
          <w:lang w:val="fr-CH"/>
        </w:rPr>
        <w:t>à l’époque</w:t>
      </w:r>
      <w:r w:rsidR="00034360">
        <w:rPr>
          <w:lang w:val="fr-CH"/>
        </w:rPr>
        <w:t xml:space="preserve"> de l’élaboration de cette ordonnance montre que la formulation actuelle a été consciemment choisie, dans un </w:t>
      </w:r>
      <w:r w:rsidR="00034360">
        <w:rPr>
          <w:lang w:val="fr-CH"/>
        </w:rPr>
        <w:lastRenderedPageBreak/>
        <w:t>souci de répondre aux exigences légales</w:t>
      </w:r>
      <w:r w:rsidR="00B62C90" w:rsidRPr="002D0D60">
        <w:rPr>
          <w:rStyle w:val="Funotenzeichen"/>
          <w:lang w:val="fr-CH"/>
        </w:rPr>
        <w:footnoteReference w:id="10"/>
      </w:r>
      <w:r w:rsidR="00B62C90" w:rsidRPr="002D0D60">
        <w:rPr>
          <w:lang w:val="fr-CH"/>
        </w:rPr>
        <w:t>.</w:t>
      </w:r>
      <w:r w:rsidR="00167F0C" w:rsidRPr="002D0D60">
        <w:rPr>
          <w:lang w:val="fr-CH"/>
        </w:rPr>
        <w:t xml:space="preserve"> </w:t>
      </w:r>
      <w:r w:rsidR="00EF5832">
        <w:rPr>
          <w:lang w:val="fr-CH"/>
        </w:rPr>
        <w:t xml:space="preserve">L’inconsistance d’une telle affirmation apparaît aussi </w:t>
      </w:r>
      <w:r w:rsidR="005A54C3">
        <w:rPr>
          <w:lang w:val="fr-CH"/>
        </w:rPr>
        <w:t>dans le fait</w:t>
      </w:r>
      <w:r w:rsidR="00EF5832">
        <w:rPr>
          <w:lang w:val="fr-CH"/>
        </w:rPr>
        <w:t xml:space="preserve"> que la </w:t>
      </w:r>
      <w:r w:rsidR="005A54C3">
        <w:rPr>
          <w:lang w:val="fr-CH"/>
        </w:rPr>
        <w:t>révision prévoit d’adapter tout</w:t>
      </w:r>
      <w:r w:rsidR="00EF5832">
        <w:rPr>
          <w:lang w:val="fr-CH"/>
        </w:rPr>
        <w:t xml:space="preserve"> une série de textes légaux, et de supprimer sans remplacement </w:t>
      </w:r>
      <w:r w:rsidR="00086526">
        <w:rPr>
          <w:lang w:val="fr-CH"/>
        </w:rPr>
        <w:t>les</w:t>
      </w:r>
      <w:r w:rsidR="00EF5832">
        <w:rPr>
          <w:lang w:val="fr-CH"/>
        </w:rPr>
        <w:t xml:space="preserve"> renvois à l’ORaP. </w:t>
      </w:r>
      <w:r w:rsidR="00B644D0">
        <w:rPr>
          <w:lang w:val="fr-CH"/>
        </w:rPr>
        <w:t xml:space="preserve">Un passage révélateur du nouveau rapport explicatif à cet égard </w:t>
      </w:r>
      <w:r w:rsidR="00B42130">
        <w:rPr>
          <w:lang w:val="fr-CH"/>
        </w:rPr>
        <w:t xml:space="preserve">est celui qui explique qu’il s’agit d’un </w:t>
      </w:r>
      <w:r w:rsidR="00815083">
        <w:rPr>
          <w:i/>
          <w:lang w:val="fr-CH"/>
        </w:rPr>
        <w:t>« découplage [par rapport aux]</w:t>
      </w:r>
      <w:r w:rsidR="00B42130" w:rsidRPr="00B42130">
        <w:rPr>
          <w:i/>
          <w:lang w:val="fr-CH"/>
        </w:rPr>
        <w:t xml:space="preserve"> catégories de défaillances prévues à l’art. 123 al. 2 ORaP »</w:t>
      </w:r>
      <w:r w:rsidR="008002DD" w:rsidRPr="00B42130">
        <w:rPr>
          <w:i/>
          <w:lang w:val="fr-CH"/>
        </w:rPr>
        <w:t>.</w:t>
      </w:r>
      <w:r w:rsidR="008002DD" w:rsidRPr="002D0D60">
        <w:rPr>
          <w:rStyle w:val="Funotenzeichen"/>
          <w:lang w:val="fr-CH"/>
        </w:rPr>
        <w:footnoteReference w:id="11"/>
      </w:r>
      <w:r w:rsidR="008002DD" w:rsidRPr="002D0D60">
        <w:rPr>
          <w:lang w:val="fr-CH"/>
        </w:rPr>
        <w:t xml:space="preserve"> </w:t>
      </w:r>
    </w:p>
    <w:p w14:paraId="565DE365" w14:textId="77777777" w:rsidR="00F95CB1" w:rsidRPr="002D0D60" w:rsidRDefault="00F95CB1" w:rsidP="00B62C90">
      <w:pPr>
        <w:rPr>
          <w:lang w:val="fr-CH"/>
        </w:rPr>
      </w:pPr>
    </w:p>
    <w:p w14:paraId="75FE347F" w14:textId="46F239D6" w:rsidR="00B62C90" w:rsidRPr="002D0D60" w:rsidRDefault="00B42130" w:rsidP="00B62C90">
      <w:pPr>
        <w:rPr>
          <w:b/>
          <w:color w:val="86BA31" w:themeColor="accent3"/>
          <w:lang w:val="fr-CH"/>
        </w:rPr>
      </w:pPr>
      <w:r>
        <w:rPr>
          <w:lang w:val="fr-CH"/>
        </w:rPr>
        <w:t xml:space="preserve">Il est vrai que la pratique actuelle de l’IFSN ne correspond pas </w:t>
      </w:r>
      <w:r w:rsidR="00AB0560">
        <w:rPr>
          <w:lang w:val="fr-CH"/>
        </w:rPr>
        <w:t>à ces</w:t>
      </w:r>
      <w:r>
        <w:rPr>
          <w:lang w:val="fr-CH"/>
        </w:rPr>
        <w:t xml:space="preserve"> exigences légales</w:t>
      </w:r>
      <w:r w:rsidR="00AB0560">
        <w:rPr>
          <w:lang w:val="fr-CH"/>
        </w:rPr>
        <w:t>,</w:t>
      </w:r>
      <w:r>
        <w:rPr>
          <w:lang w:val="fr-CH"/>
        </w:rPr>
        <w:t xml:space="preserve"> qui forment un tout cohérent. Si l’IFSN déclare que le problème réside dans une interprétation source de malentendus, c’est qu’elle tente de justifier sa pratique actuelle </w:t>
      </w:r>
      <w:r w:rsidR="00546B08" w:rsidRPr="00546B08">
        <w:rPr>
          <w:i/>
          <w:lang w:val="fr-CH"/>
        </w:rPr>
        <w:t>« traditionnelle »</w:t>
      </w:r>
      <w:r w:rsidR="00B62C90" w:rsidRPr="002D0D60">
        <w:rPr>
          <w:rStyle w:val="Funotenzeichen"/>
          <w:lang w:val="fr-CH"/>
        </w:rPr>
        <w:footnoteReference w:id="12"/>
      </w:r>
      <w:r w:rsidR="00B62C90" w:rsidRPr="002D0D60">
        <w:rPr>
          <w:i/>
          <w:lang w:val="fr-CH"/>
        </w:rPr>
        <w:t xml:space="preserve">, </w:t>
      </w:r>
      <w:r w:rsidR="00546B08">
        <w:rPr>
          <w:lang w:val="fr-CH"/>
        </w:rPr>
        <w:t>c’est-à-dire dépassée et non conforme aux ordonnances. Au cours des dernières années et décennies, la recherche a produit de nouveaux résultats, en particulier en matière de séismes, qui ont notamment conduit à une révision des hypothèses de risque de l’IFSN</w:t>
      </w:r>
      <w:r w:rsidR="00B62C90" w:rsidRPr="002D0D60">
        <w:rPr>
          <w:rStyle w:val="Funotenzeichen"/>
          <w:lang w:val="fr-CH"/>
        </w:rPr>
        <w:footnoteReference w:id="13"/>
      </w:r>
      <w:r w:rsidR="00B62C90" w:rsidRPr="002D0D60">
        <w:rPr>
          <w:lang w:val="fr-CH"/>
        </w:rPr>
        <w:t xml:space="preserve">. </w:t>
      </w:r>
      <w:r w:rsidR="00546B08">
        <w:rPr>
          <w:lang w:val="fr-CH"/>
        </w:rPr>
        <w:t>Et pour la CN de Beznau, la recherche a démontré qu’un événement survenant tous les 10 </w:t>
      </w:r>
      <w:r w:rsidR="00B653C5" w:rsidRPr="002D0D60">
        <w:rPr>
          <w:lang w:val="fr-CH"/>
        </w:rPr>
        <w:t>000</w:t>
      </w:r>
      <w:r w:rsidR="00546B08">
        <w:rPr>
          <w:lang w:val="fr-CH"/>
        </w:rPr>
        <w:t xml:space="preserve"> ans n’était même pas l’événement le plus grave possible à cet endroit. En matière de séismes rare et très intenses, le choix historique qui consist</w:t>
      </w:r>
      <w:r w:rsidR="005A54C3">
        <w:rPr>
          <w:lang w:val="fr-CH"/>
        </w:rPr>
        <w:t>ait</w:t>
      </w:r>
      <w:r w:rsidR="00546B08">
        <w:rPr>
          <w:lang w:val="fr-CH"/>
        </w:rPr>
        <w:t xml:space="preserve"> à se limiter à un événement survenant tous les 10 000 ans, par manque de connaissances sur les séismes encore plus violents, est tout simplement dépassé</w:t>
      </w:r>
      <w:r w:rsidR="00B653C5" w:rsidRPr="002D0D60">
        <w:rPr>
          <w:rStyle w:val="Funotenzeichen"/>
          <w:lang w:val="fr-CH"/>
        </w:rPr>
        <w:footnoteReference w:id="14"/>
      </w:r>
      <w:r w:rsidR="00B653C5" w:rsidRPr="002D0D60">
        <w:rPr>
          <w:lang w:val="fr-CH"/>
        </w:rPr>
        <w:t xml:space="preserve">. </w:t>
      </w:r>
      <w:r w:rsidR="00546B08">
        <w:rPr>
          <w:lang w:val="fr-CH"/>
        </w:rPr>
        <w:t xml:space="preserve">Les éléments de base pour l’appréciation de la sécurité nucléaire ont donc changé, ce qui doit être pris en compte également </w:t>
      </w:r>
      <w:r w:rsidR="005A54C3">
        <w:rPr>
          <w:lang w:val="fr-CH"/>
        </w:rPr>
        <w:t>pour</w:t>
      </w:r>
      <w:r w:rsidR="00546B08">
        <w:rPr>
          <w:lang w:val="fr-CH"/>
        </w:rPr>
        <w:t xml:space="preserve"> les centrales </w:t>
      </w:r>
      <w:r w:rsidR="00546B08">
        <w:rPr>
          <w:lang w:val="fr-CH"/>
        </w:rPr>
        <w:lastRenderedPageBreak/>
        <w:t xml:space="preserve">existantes. Il est anachronique, et même irresponsable, de se référer à </w:t>
      </w:r>
      <w:r w:rsidR="00121D6C">
        <w:rPr>
          <w:lang w:val="fr-CH"/>
        </w:rPr>
        <w:t>la</w:t>
      </w:r>
      <w:r w:rsidR="00546B08">
        <w:rPr>
          <w:lang w:val="fr-CH"/>
        </w:rPr>
        <w:t xml:space="preserve"> pratique </w:t>
      </w:r>
      <w:r w:rsidR="00121D6C">
        <w:rPr>
          <w:lang w:val="fr-CH"/>
        </w:rPr>
        <w:t>appliquée jusqu’ici en la matière</w:t>
      </w:r>
      <w:r w:rsidR="00546B08">
        <w:rPr>
          <w:lang w:val="fr-CH"/>
        </w:rPr>
        <w:t>. En outre cette pratique est contraire à la loi, étant donné que l’a</w:t>
      </w:r>
      <w:r w:rsidR="00A4290E" w:rsidRPr="002D0D60">
        <w:rPr>
          <w:lang w:val="fr-CH"/>
        </w:rPr>
        <w:t xml:space="preserve">rt. 4 </w:t>
      </w:r>
      <w:r w:rsidR="00546B08">
        <w:rPr>
          <w:lang w:val="fr-CH"/>
        </w:rPr>
        <w:t>al</w:t>
      </w:r>
      <w:r w:rsidR="00A4290E" w:rsidRPr="002D0D60">
        <w:rPr>
          <w:lang w:val="fr-CH"/>
        </w:rPr>
        <w:t xml:space="preserve">. 3 </w:t>
      </w:r>
      <w:r w:rsidR="00546B08">
        <w:rPr>
          <w:lang w:val="fr-CH"/>
        </w:rPr>
        <w:t>LENu</w:t>
      </w:r>
      <w:r w:rsidR="00823C0C">
        <w:rPr>
          <w:lang w:val="fr-CH"/>
        </w:rPr>
        <w:t xml:space="preserve"> </w:t>
      </w:r>
      <w:r w:rsidR="00B1735D">
        <w:rPr>
          <w:lang w:val="fr-CH"/>
        </w:rPr>
        <w:t>formule l’obligation, dans un esprit de prévention, de prendre toutes les mesures nécessaire</w:t>
      </w:r>
      <w:r w:rsidR="009E7481">
        <w:rPr>
          <w:lang w:val="fr-CH"/>
        </w:rPr>
        <w:t>s</w:t>
      </w:r>
      <w:r w:rsidR="00121D6C">
        <w:rPr>
          <w:lang w:val="fr-CH"/>
        </w:rPr>
        <w:t>,</w:t>
      </w:r>
      <w:r w:rsidR="00B1735D">
        <w:rPr>
          <w:lang w:val="fr-CH"/>
        </w:rPr>
        <w:t xml:space="preserve"> non seulement selon l’expérience et l’état actuel de la technique, mais aussi selon l’état actuel de la science.</w:t>
      </w:r>
    </w:p>
    <w:p w14:paraId="5775B73B" w14:textId="2FB53717" w:rsidR="00DC1D93" w:rsidRPr="002D0D60" w:rsidRDefault="000B3055" w:rsidP="00DC1D93">
      <w:pPr>
        <w:pStyle w:val="berschrift2"/>
        <w:rPr>
          <w:lang w:val="fr-CH"/>
        </w:rPr>
      </w:pPr>
      <w:bookmarkStart w:id="10" w:name="_Toc509959550"/>
      <w:r w:rsidRPr="002D0D60">
        <w:rPr>
          <w:lang w:val="fr-CH"/>
        </w:rPr>
        <w:t>AFFAIBLISSEMENT DE LA PROTECTION DE LA POPULATION CONTRE LE RISQUE NUCL</w:t>
      </w:r>
      <w:r w:rsidRPr="002D0D60">
        <w:rPr>
          <w:caps/>
          <w:lang w:val="fr-CH"/>
        </w:rPr>
        <w:t>é</w:t>
      </w:r>
      <w:r w:rsidRPr="002D0D60">
        <w:rPr>
          <w:lang w:val="fr-CH"/>
        </w:rPr>
        <w:t>AIRE</w:t>
      </w:r>
      <w:bookmarkEnd w:id="10"/>
    </w:p>
    <w:p w14:paraId="25AB096D" w14:textId="52A9C309" w:rsidR="00614BAF" w:rsidRPr="002D0D60" w:rsidRDefault="005A74B4" w:rsidP="00614BAF">
      <w:pPr>
        <w:pStyle w:val="berschrift3"/>
        <w:rPr>
          <w:lang w:val="fr-CH"/>
        </w:rPr>
      </w:pPr>
      <w:bookmarkStart w:id="11" w:name="_Toc509959551"/>
      <w:r>
        <w:rPr>
          <w:lang w:val="fr-CH"/>
        </w:rPr>
        <w:t>I</w:t>
      </w:r>
      <w:r w:rsidR="00B861DE" w:rsidRPr="002D0D60">
        <w:rPr>
          <w:lang w:val="fr-CH"/>
        </w:rPr>
        <w:t>mportanc</w:t>
      </w:r>
      <w:r>
        <w:rPr>
          <w:lang w:val="fr-CH"/>
        </w:rPr>
        <w:t>e capitale</w:t>
      </w:r>
      <w:r w:rsidR="00B861DE" w:rsidRPr="002D0D60">
        <w:rPr>
          <w:lang w:val="fr-CH"/>
        </w:rPr>
        <w:t xml:space="preserve"> des critères de mise hors service</w:t>
      </w:r>
      <w:bookmarkEnd w:id="11"/>
    </w:p>
    <w:p w14:paraId="1E4B450B" w14:textId="7A40898C" w:rsidR="00E01E95" w:rsidRPr="002D0D60" w:rsidRDefault="00FE49B2" w:rsidP="00FA1D47">
      <w:pPr>
        <w:rPr>
          <w:lang w:val="fr-CH"/>
        </w:rPr>
      </w:pPr>
      <w:r w:rsidRPr="002D0D60">
        <w:rPr>
          <w:lang w:val="fr-CH"/>
        </w:rPr>
        <w:t xml:space="preserve">Pour déterminer </w:t>
      </w:r>
      <w:r w:rsidR="00B861DE" w:rsidRPr="002D0D60">
        <w:rPr>
          <w:lang w:val="fr-CH"/>
        </w:rPr>
        <w:t xml:space="preserve">« à partir de </w:t>
      </w:r>
      <w:r w:rsidRPr="002D0D60">
        <w:rPr>
          <w:lang w:val="fr-CH"/>
        </w:rPr>
        <w:t>quel moment</w:t>
      </w:r>
      <w:r w:rsidR="00B861DE" w:rsidRPr="002D0D60">
        <w:rPr>
          <w:lang w:val="fr-CH"/>
        </w:rPr>
        <w:t xml:space="preserve"> une centrale nucléaire n’est</w:t>
      </w:r>
      <w:r w:rsidRPr="002D0D60">
        <w:rPr>
          <w:lang w:val="fr-CH"/>
        </w:rPr>
        <w:t xml:space="preserve"> plus sûre », l’élément central réside dans l</w:t>
      </w:r>
      <w:r w:rsidR="00B861DE" w:rsidRPr="002D0D60">
        <w:rPr>
          <w:lang w:val="fr-CH"/>
        </w:rPr>
        <w:t xml:space="preserve">es critères de mise hors </w:t>
      </w:r>
      <w:r w:rsidRPr="002D0D60">
        <w:rPr>
          <w:lang w:val="fr-CH"/>
        </w:rPr>
        <w:t>service</w:t>
      </w:r>
      <w:r w:rsidR="004C296D" w:rsidRPr="002D0D60">
        <w:rPr>
          <w:lang w:val="fr-CH"/>
        </w:rPr>
        <w:t xml:space="preserve"> (</w:t>
      </w:r>
      <w:r w:rsidRPr="002D0D60">
        <w:rPr>
          <w:lang w:val="fr-CH"/>
        </w:rPr>
        <w:t>a</w:t>
      </w:r>
      <w:r w:rsidR="00D37D8D" w:rsidRPr="002D0D60">
        <w:rPr>
          <w:lang w:val="fr-CH"/>
        </w:rPr>
        <w:t xml:space="preserve">rt. 44 </w:t>
      </w:r>
      <w:r w:rsidR="005D3B86" w:rsidRPr="002D0D60">
        <w:rPr>
          <w:lang w:val="fr-CH"/>
        </w:rPr>
        <w:t xml:space="preserve">OENu en lien avec les art. </w:t>
      </w:r>
      <w:r w:rsidR="00D37D8D" w:rsidRPr="002D0D60">
        <w:rPr>
          <w:lang w:val="fr-CH"/>
        </w:rPr>
        <w:t xml:space="preserve">2 </w:t>
      </w:r>
      <w:r w:rsidR="005D3B86" w:rsidRPr="002D0D60">
        <w:rPr>
          <w:lang w:val="fr-CH"/>
        </w:rPr>
        <w:t>et</w:t>
      </w:r>
      <w:r w:rsidR="00D37D8D" w:rsidRPr="002D0D60">
        <w:rPr>
          <w:lang w:val="fr-CH"/>
        </w:rPr>
        <w:t xml:space="preserve"> 3 </w:t>
      </w:r>
      <w:r w:rsidR="006F2B2B" w:rsidRPr="002D0D60">
        <w:rPr>
          <w:lang w:val="fr-CH"/>
        </w:rPr>
        <w:t>d</w:t>
      </w:r>
      <w:r w:rsidR="008B058B">
        <w:rPr>
          <w:lang w:val="fr-CH"/>
        </w:rPr>
        <w:t>e l</w:t>
      </w:r>
      <w:r w:rsidR="006F2B2B" w:rsidRPr="002D0D60">
        <w:rPr>
          <w:lang w:val="fr-CH"/>
        </w:rPr>
        <w:t xml:space="preserve">’ordonnance sur la mise hors service). Ces </w:t>
      </w:r>
      <w:r w:rsidR="006F2B2B" w:rsidRPr="002D0D60">
        <w:rPr>
          <w:i/>
          <w:lang w:val="fr-CH"/>
        </w:rPr>
        <w:t>critères</w:t>
      </w:r>
      <w:r w:rsidR="00334BDE" w:rsidRPr="002D0D60">
        <w:rPr>
          <w:lang w:val="fr-CH"/>
        </w:rPr>
        <w:t xml:space="preserve"> </w:t>
      </w:r>
      <w:r w:rsidR="006F2B2B" w:rsidRPr="002D0D60">
        <w:rPr>
          <w:lang w:val="fr-CH"/>
        </w:rPr>
        <w:t xml:space="preserve">constituent une base claire et explicite </w:t>
      </w:r>
      <w:r w:rsidR="00C33E94" w:rsidRPr="002D0D60">
        <w:rPr>
          <w:lang w:val="fr-CH"/>
        </w:rPr>
        <w:t>pour les</w:t>
      </w:r>
      <w:r w:rsidR="006F2B2B" w:rsidRPr="002D0D60">
        <w:rPr>
          <w:lang w:val="fr-CH"/>
        </w:rPr>
        <w:t xml:space="preserve"> ex</w:t>
      </w:r>
      <w:r w:rsidR="00C33E94" w:rsidRPr="002D0D60">
        <w:rPr>
          <w:lang w:val="fr-CH"/>
        </w:rPr>
        <w:t>ploitants et</w:t>
      </w:r>
      <w:r w:rsidR="006F2B2B" w:rsidRPr="002D0D60">
        <w:rPr>
          <w:lang w:val="fr-CH"/>
        </w:rPr>
        <w:t xml:space="preserve"> l’autorité de surveillance</w:t>
      </w:r>
      <w:r w:rsidR="00C33E94" w:rsidRPr="002D0D60">
        <w:rPr>
          <w:lang w:val="fr-CH"/>
        </w:rPr>
        <w:t>, leur permettant</w:t>
      </w:r>
      <w:r w:rsidR="006F2B2B" w:rsidRPr="002D0D60">
        <w:rPr>
          <w:lang w:val="fr-CH"/>
        </w:rPr>
        <w:t xml:space="preserve"> de déterminer les incidents ou constats qui </w:t>
      </w:r>
      <w:r w:rsidR="006F2B2B" w:rsidRPr="002D0D60">
        <w:rPr>
          <w:i/>
          <w:lang w:val="fr-CH"/>
        </w:rPr>
        <w:t>doivent impérativement</w:t>
      </w:r>
      <w:r w:rsidR="006F2B2B" w:rsidRPr="002D0D60">
        <w:rPr>
          <w:lang w:val="fr-CH"/>
        </w:rPr>
        <w:t xml:space="preserve"> entraîner une mise hors service provisoire, afin de limiter le risque d’i</w:t>
      </w:r>
      <w:r w:rsidR="00C33E94" w:rsidRPr="002D0D60">
        <w:rPr>
          <w:lang w:val="fr-CH"/>
        </w:rPr>
        <w:t>rradiation de la population. Après une mise hors service provisoire, l’exploitant a la possibilité de</w:t>
      </w:r>
      <w:r w:rsidR="00D93592" w:rsidRPr="002D0D60">
        <w:rPr>
          <w:lang w:val="fr-CH"/>
        </w:rPr>
        <w:t xml:space="preserve"> rééquiper son installation, afin que la CN remplisse à nouveau les critères d’exploitation et puisse être remise en service. Relevons l’importance de ces critères</w:t>
      </w:r>
      <w:r w:rsidR="00D215C9">
        <w:rPr>
          <w:lang w:val="fr-CH"/>
        </w:rPr>
        <w:t>,</w:t>
      </w:r>
      <w:r w:rsidR="00D93592" w:rsidRPr="002D0D60">
        <w:rPr>
          <w:lang w:val="fr-CH"/>
        </w:rPr>
        <w:t xml:space="preserve"> </w:t>
      </w:r>
      <w:r w:rsidR="004C1DFC" w:rsidRPr="002D0D60">
        <w:rPr>
          <w:lang w:val="fr-CH"/>
        </w:rPr>
        <w:t xml:space="preserve">qui ne </w:t>
      </w:r>
      <w:r w:rsidR="00D93592" w:rsidRPr="002D0D60">
        <w:rPr>
          <w:lang w:val="fr-CH"/>
        </w:rPr>
        <w:t xml:space="preserve">laissent aucune marge </w:t>
      </w:r>
      <w:r w:rsidR="004C1DFC" w:rsidRPr="002D0D60">
        <w:rPr>
          <w:lang w:val="fr-CH"/>
        </w:rPr>
        <w:t xml:space="preserve">d’appréciation, contrairement </w:t>
      </w:r>
      <w:r w:rsidR="00AA74A5" w:rsidRPr="002D0D60">
        <w:rPr>
          <w:lang w:val="fr-CH"/>
        </w:rPr>
        <w:t>aux dispositions concernant</w:t>
      </w:r>
      <w:r w:rsidR="004C1DFC" w:rsidRPr="002D0D60">
        <w:rPr>
          <w:lang w:val="fr-CH"/>
        </w:rPr>
        <w:t xml:space="preserve"> d’autres déficits de sécurité. </w:t>
      </w:r>
      <w:r w:rsidR="00AA74A5" w:rsidRPr="002D0D60">
        <w:rPr>
          <w:lang w:val="fr-CH"/>
        </w:rPr>
        <w:t xml:space="preserve">Ces </w:t>
      </w:r>
      <w:r w:rsidR="001F5A6B" w:rsidRPr="002D0D60">
        <w:rPr>
          <w:lang w:val="fr-CH"/>
        </w:rPr>
        <w:t>critères constituent donc la seule norme « dure »</w:t>
      </w:r>
      <w:r w:rsidR="008246C9" w:rsidRPr="002D0D60">
        <w:rPr>
          <w:lang w:val="fr-CH"/>
        </w:rPr>
        <w:t xml:space="preserve"> pour l’appréciation de la sécurité d’une installation.</w:t>
      </w:r>
    </w:p>
    <w:p w14:paraId="7357A6F8" w14:textId="77777777" w:rsidR="00334BDE" w:rsidRPr="002D0D60" w:rsidRDefault="00334BDE" w:rsidP="00FA1D47">
      <w:pPr>
        <w:rPr>
          <w:lang w:val="fr-CH"/>
        </w:rPr>
      </w:pPr>
    </w:p>
    <w:p w14:paraId="4560820E" w14:textId="240CD65F" w:rsidR="00FA1D47" w:rsidRPr="002D0D60" w:rsidRDefault="008246C9" w:rsidP="00FA1D47">
      <w:pPr>
        <w:rPr>
          <w:lang w:val="fr-CH"/>
        </w:rPr>
      </w:pPr>
      <w:r w:rsidRPr="002D0D60">
        <w:rPr>
          <w:lang w:val="fr-CH"/>
        </w:rPr>
        <w:t>La législation en vigueur prévoit deux catégories de critère</w:t>
      </w:r>
      <w:r w:rsidR="004B06C4" w:rsidRPr="002D0D60">
        <w:rPr>
          <w:lang w:val="fr-CH"/>
        </w:rPr>
        <w:t>s</w:t>
      </w:r>
      <w:r w:rsidRPr="002D0D60">
        <w:rPr>
          <w:lang w:val="fr-CH"/>
        </w:rPr>
        <w:t xml:space="preserve"> de mise hors service </w:t>
      </w:r>
      <w:r w:rsidR="00FA1D47" w:rsidRPr="002D0D60">
        <w:rPr>
          <w:lang w:val="fr-CH"/>
        </w:rPr>
        <w:t>:</w:t>
      </w:r>
    </w:p>
    <w:p w14:paraId="67F8EBB2" w14:textId="77777777" w:rsidR="00614BAF" w:rsidRPr="002D0D60" w:rsidRDefault="00614BAF" w:rsidP="00FA1D47">
      <w:pPr>
        <w:rPr>
          <w:lang w:val="fr-CH"/>
        </w:rPr>
      </w:pPr>
    </w:p>
    <w:p w14:paraId="312F1D52" w14:textId="4E49AD58" w:rsidR="00810EE8" w:rsidRPr="002D0D60" w:rsidRDefault="00E66286" w:rsidP="00810EE8">
      <w:pPr>
        <w:pStyle w:val="Listenabsatz"/>
        <w:numPr>
          <w:ilvl w:val="0"/>
          <w:numId w:val="31"/>
        </w:numPr>
        <w:spacing w:line="240" w:lineRule="atLeast"/>
        <w:rPr>
          <w:lang w:val="fr-CH"/>
        </w:rPr>
      </w:pPr>
      <w:r w:rsidRPr="002D0D60">
        <w:rPr>
          <w:b/>
          <w:lang w:val="fr-CH"/>
        </w:rPr>
        <w:t>Erreurs de conception :</w:t>
      </w:r>
      <w:r w:rsidR="00810EE8" w:rsidRPr="002D0D60">
        <w:rPr>
          <w:lang w:val="fr-CH"/>
        </w:rPr>
        <w:t xml:space="preserve"> </w:t>
      </w:r>
      <w:r w:rsidR="00DE65C9" w:rsidRPr="002D0D60">
        <w:rPr>
          <w:lang w:val="fr-CH"/>
        </w:rPr>
        <w:t xml:space="preserve">l’autorisation d’exploiter une centrale nucléaire est accordée en fonction des </w:t>
      </w:r>
      <w:r w:rsidR="0018611E" w:rsidRPr="002D0D60">
        <w:rPr>
          <w:lang w:val="fr-CH"/>
        </w:rPr>
        <w:t>bases de conception</w:t>
      </w:r>
      <w:r w:rsidR="00DE65C9" w:rsidRPr="002D0D60">
        <w:rPr>
          <w:lang w:val="fr-CH"/>
        </w:rPr>
        <w:t xml:space="preserve">. Il peut arriver que la conception originale comporte des erreurs au vu de l’état actuel des connaissances, et que la centrale ne se comporte donc pas </w:t>
      </w:r>
      <w:r w:rsidR="008B058B">
        <w:rPr>
          <w:lang w:val="fr-CH"/>
        </w:rPr>
        <w:t>comme prévu</w:t>
      </w:r>
      <w:r w:rsidR="00DE65C9" w:rsidRPr="002D0D60">
        <w:rPr>
          <w:lang w:val="fr-CH"/>
        </w:rPr>
        <w:t xml:space="preserve">. En général les erreurs de conception ne sont découvertes que </w:t>
      </w:r>
      <w:r w:rsidR="008B058B">
        <w:rPr>
          <w:lang w:val="fr-CH"/>
        </w:rPr>
        <w:t xml:space="preserve">lors d’un </w:t>
      </w:r>
      <w:r w:rsidR="00DE65C9" w:rsidRPr="002D0D60">
        <w:rPr>
          <w:lang w:val="fr-CH"/>
        </w:rPr>
        <w:t>accident (comme</w:t>
      </w:r>
      <w:r w:rsidR="00D41B5C" w:rsidRPr="002D0D60">
        <w:rPr>
          <w:lang w:val="fr-CH"/>
        </w:rPr>
        <w:t xml:space="preserve"> Fukushima)</w:t>
      </w:r>
      <w:r w:rsidR="00810EE8" w:rsidRPr="002D0D60">
        <w:rPr>
          <w:lang w:val="fr-CH"/>
        </w:rPr>
        <w:t xml:space="preserve">, </w:t>
      </w:r>
      <w:r w:rsidR="008B058B">
        <w:rPr>
          <w:lang w:val="fr-CH"/>
        </w:rPr>
        <w:t xml:space="preserve">par des constats ou en lien avec des avancées scientifiques. Lors de la vérification </w:t>
      </w:r>
      <w:r w:rsidR="009B34F3" w:rsidRPr="002D0D60">
        <w:rPr>
          <w:lang w:val="fr-CH"/>
        </w:rPr>
        <w:t xml:space="preserve">des critères de mise hors service, l’exploitant doit actuellement apporter la preuve </w:t>
      </w:r>
      <w:r w:rsidR="008D7798" w:rsidRPr="002D0D60">
        <w:rPr>
          <w:lang w:val="fr-CH"/>
        </w:rPr>
        <w:t xml:space="preserve">que </w:t>
      </w:r>
      <w:r w:rsidR="00045A43" w:rsidRPr="002D0D60">
        <w:rPr>
          <w:lang w:val="fr-CH"/>
        </w:rPr>
        <w:t xml:space="preserve">les </w:t>
      </w:r>
      <w:r w:rsidR="00A930E6" w:rsidRPr="002D0D60">
        <w:rPr>
          <w:lang w:val="fr-CH"/>
        </w:rPr>
        <w:t>limite</w:t>
      </w:r>
      <w:r w:rsidR="00045A43" w:rsidRPr="002D0D60">
        <w:rPr>
          <w:lang w:val="fr-CH"/>
        </w:rPr>
        <w:t>s</w:t>
      </w:r>
      <w:r w:rsidR="00A930E6" w:rsidRPr="002D0D60">
        <w:rPr>
          <w:lang w:val="fr-CH"/>
        </w:rPr>
        <w:t xml:space="preserve"> admissible</w:t>
      </w:r>
      <w:r w:rsidR="00045A43" w:rsidRPr="002D0D60">
        <w:rPr>
          <w:lang w:val="fr-CH"/>
        </w:rPr>
        <w:t>s</w:t>
      </w:r>
      <w:r w:rsidR="00A930E6" w:rsidRPr="002D0D60">
        <w:rPr>
          <w:lang w:val="fr-CH"/>
        </w:rPr>
        <w:t xml:space="preserve"> de dose </w:t>
      </w:r>
      <w:r w:rsidR="00045A43" w:rsidRPr="002D0D60">
        <w:rPr>
          <w:lang w:val="fr-CH"/>
        </w:rPr>
        <w:t>selon l’art.</w:t>
      </w:r>
      <w:r w:rsidR="00810EE8" w:rsidRPr="002D0D60">
        <w:rPr>
          <w:lang w:val="fr-CH"/>
        </w:rPr>
        <w:t xml:space="preserve"> 94 </w:t>
      </w:r>
      <w:r w:rsidR="00045A43" w:rsidRPr="002D0D60">
        <w:rPr>
          <w:lang w:val="fr-CH"/>
        </w:rPr>
        <w:t xml:space="preserve">de l’ordonnance sur la radioprotection </w:t>
      </w:r>
      <w:r w:rsidR="00D41B5C" w:rsidRPr="002D0D60">
        <w:rPr>
          <w:lang w:val="fr-CH"/>
        </w:rPr>
        <w:t>(</w:t>
      </w:r>
      <w:r w:rsidR="00045A43" w:rsidRPr="002D0D60">
        <w:rPr>
          <w:lang w:val="fr-CH"/>
        </w:rPr>
        <w:t>ORaP</w:t>
      </w:r>
      <w:r w:rsidR="00810EE8" w:rsidRPr="002D0D60">
        <w:rPr>
          <w:lang w:val="fr-CH"/>
        </w:rPr>
        <w:t xml:space="preserve">) </w:t>
      </w:r>
      <w:r w:rsidR="008B058B">
        <w:rPr>
          <w:lang w:val="fr-CH"/>
        </w:rPr>
        <w:t>sont</w:t>
      </w:r>
      <w:r w:rsidR="00045A43" w:rsidRPr="002D0D60">
        <w:rPr>
          <w:lang w:val="fr-CH"/>
        </w:rPr>
        <w:t xml:space="preserve"> respectées (critères radiologiques de mise hors service)</w:t>
      </w:r>
      <w:r w:rsidR="00810EE8" w:rsidRPr="002D0D60">
        <w:rPr>
          <w:lang w:val="fr-CH"/>
        </w:rPr>
        <w:t>.</w:t>
      </w:r>
      <w:r w:rsidR="0043787D" w:rsidRPr="0043787D">
        <w:rPr>
          <w:rStyle w:val="Funotenzeichen"/>
          <w:lang w:val="en-US"/>
        </w:rPr>
        <w:t xml:space="preserve"> </w:t>
      </w:r>
      <w:r w:rsidR="0043787D">
        <w:rPr>
          <w:rStyle w:val="Funotenzeichen"/>
        </w:rPr>
        <w:footnoteReference w:id="15"/>
      </w:r>
      <w:r w:rsidR="00810EE8" w:rsidRPr="002D0D60">
        <w:rPr>
          <w:lang w:val="fr-CH"/>
        </w:rPr>
        <w:t xml:space="preserve"> </w:t>
      </w:r>
    </w:p>
    <w:p w14:paraId="707DA1E5" w14:textId="573E1CCE" w:rsidR="00810EE8" w:rsidRPr="002D0D60" w:rsidRDefault="00285D6D" w:rsidP="0029207C">
      <w:pPr>
        <w:pStyle w:val="Listenabsatz"/>
        <w:numPr>
          <w:ilvl w:val="0"/>
          <w:numId w:val="31"/>
        </w:numPr>
        <w:spacing w:line="240" w:lineRule="atLeast"/>
        <w:rPr>
          <w:lang w:val="fr-CH"/>
        </w:rPr>
      </w:pPr>
      <w:r w:rsidRPr="002D0D60">
        <w:rPr>
          <w:b/>
          <w:lang w:val="fr-CH"/>
        </w:rPr>
        <w:t>Dommages dus au vieillissement :</w:t>
      </w:r>
      <w:r w:rsidR="00810EE8" w:rsidRPr="002D0D60">
        <w:rPr>
          <w:lang w:val="fr-CH"/>
        </w:rPr>
        <w:t xml:space="preserve"> </w:t>
      </w:r>
      <w:r w:rsidR="00045A43" w:rsidRPr="002D0D60">
        <w:rPr>
          <w:lang w:val="fr-CH"/>
        </w:rPr>
        <w:t>contrairement aux erreurs de conception, les dommages dus au vie</w:t>
      </w:r>
      <w:r w:rsidR="00D215C9">
        <w:rPr>
          <w:lang w:val="fr-CH"/>
        </w:rPr>
        <w:t>illissement ne sont pas présent</w:t>
      </w:r>
      <w:r w:rsidR="00045A43" w:rsidRPr="002D0D60">
        <w:rPr>
          <w:lang w:val="fr-CH"/>
        </w:rPr>
        <w:t xml:space="preserve">s dès le début, mais surviennent au fil du temps. </w:t>
      </w:r>
      <w:r w:rsidR="00DD25B5" w:rsidRPr="002D0D60">
        <w:rPr>
          <w:lang w:val="fr-CH"/>
        </w:rPr>
        <w:t>C’est le cas lorsqu’un</w:t>
      </w:r>
      <w:r w:rsidR="00045A43" w:rsidRPr="002D0D60">
        <w:rPr>
          <w:lang w:val="fr-CH"/>
        </w:rPr>
        <w:t xml:space="preserve"> composant</w:t>
      </w:r>
      <w:r w:rsidR="00DD25B5" w:rsidRPr="002D0D60">
        <w:rPr>
          <w:lang w:val="fr-CH"/>
        </w:rPr>
        <w:t xml:space="preserve"> </w:t>
      </w:r>
      <w:r w:rsidR="008B058B">
        <w:rPr>
          <w:lang w:val="fr-CH"/>
        </w:rPr>
        <w:t>possède</w:t>
      </w:r>
      <w:r w:rsidR="00DD25B5" w:rsidRPr="002D0D60">
        <w:rPr>
          <w:lang w:val="fr-CH"/>
        </w:rPr>
        <w:t xml:space="preserve"> une conception correcte à l’origine, mais qu’il ne correspond plus à la conception initiale ou à l’état actuel de la technique, du fait des processus d</w:t>
      </w:r>
      <w:r w:rsidR="00842329" w:rsidRPr="002D0D60">
        <w:rPr>
          <w:lang w:val="fr-CH"/>
        </w:rPr>
        <w:t xml:space="preserve">’usure </w:t>
      </w:r>
      <w:r w:rsidR="001F45ED" w:rsidRPr="002D0D60">
        <w:rPr>
          <w:lang w:val="fr-CH"/>
        </w:rPr>
        <w:t>et de vieillissement</w:t>
      </w:r>
      <w:r w:rsidR="00810EE8" w:rsidRPr="002D0D60">
        <w:rPr>
          <w:lang w:val="fr-CH"/>
        </w:rPr>
        <w:t xml:space="preserve">. </w:t>
      </w:r>
    </w:p>
    <w:p w14:paraId="226A33F8" w14:textId="77777777" w:rsidR="00FA1D47" w:rsidRPr="002D0D60" w:rsidRDefault="00FA1D47" w:rsidP="00FA1D47">
      <w:pPr>
        <w:rPr>
          <w:lang w:val="fr-CH"/>
        </w:rPr>
      </w:pPr>
    </w:p>
    <w:p w14:paraId="620AADAD" w14:textId="20CD49EC" w:rsidR="00FA1D47" w:rsidRPr="002D0D60" w:rsidRDefault="008C0504" w:rsidP="00FA1D47">
      <w:pPr>
        <w:rPr>
          <w:lang w:val="fr-CH"/>
        </w:rPr>
      </w:pPr>
      <w:r w:rsidRPr="002D0D60">
        <w:rPr>
          <w:lang w:val="fr-CH"/>
        </w:rPr>
        <w:lastRenderedPageBreak/>
        <w:t xml:space="preserve">La révision prévue constitue un </w:t>
      </w:r>
      <w:r w:rsidR="00BF0682">
        <w:rPr>
          <w:lang w:val="fr-CH"/>
        </w:rPr>
        <w:t xml:space="preserve">véritable </w:t>
      </w:r>
      <w:r w:rsidRPr="002D0D60">
        <w:rPr>
          <w:lang w:val="fr-CH"/>
        </w:rPr>
        <w:t>démantèlement</w:t>
      </w:r>
      <w:r w:rsidR="008B058B">
        <w:rPr>
          <w:lang w:val="fr-CH"/>
        </w:rPr>
        <w:t xml:space="preserve"> </w:t>
      </w:r>
      <w:r w:rsidRPr="002D0D60">
        <w:rPr>
          <w:lang w:val="fr-CH"/>
        </w:rPr>
        <w:t>de</w:t>
      </w:r>
      <w:r w:rsidR="005F002B" w:rsidRPr="002D0D60">
        <w:rPr>
          <w:lang w:val="fr-CH"/>
        </w:rPr>
        <w:t xml:space="preserve"> la première c</w:t>
      </w:r>
      <w:r w:rsidRPr="002D0D60">
        <w:rPr>
          <w:lang w:val="fr-CH"/>
        </w:rPr>
        <w:t xml:space="preserve">atégorie </w:t>
      </w:r>
      <w:r w:rsidR="002F1208" w:rsidRPr="002D0D60">
        <w:rPr>
          <w:lang w:val="fr-CH"/>
        </w:rPr>
        <w:t>de vérification</w:t>
      </w:r>
      <w:r w:rsidRPr="002D0D60">
        <w:rPr>
          <w:lang w:val="fr-CH"/>
        </w:rPr>
        <w:t xml:space="preserve"> des erreurs de conception.</w:t>
      </w:r>
      <w:r w:rsidR="005F002B" w:rsidRPr="002D0D60">
        <w:rPr>
          <w:lang w:val="fr-CH"/>
        </w:rPr>
        <w:t xml:space="preserve"> </w:t>
      </w:r>
      <w:r w:rsidRPr="002D0D60">
        <w:rPr>
          <w:lang w:val="fr-CH"/>
        </w:rPr>
        <w:t xml:space="preserve">Elle </w:t>
      </w:r>
      <w:r w:rsidR="002316AD" w:rsidRPr="002D0D60">
        <w:rPr>
          <w:lang w:val="fr-CH"/>
        </w:rPr>
        <w:t>réduit le justificatif nécessaire à un critère artificiel de « vérification du refroidissement du cœur </w:t>
      </w:r>
      <w:r w:rsidR="003F2270" w:rsidRPr="002D0D60">
        <w:rPr>
          <w:lang w:val="fr-CH"/>
        </w:rPr>
        <w:t>du réacteur »</w:t>
      </w:r>
      <w:r w:rsidR="00A91D9C" w:rsidRPr="002D0D60">
        <w:rPr>
          <w:lang w:val="fr-CH"/>
        </w:rPr>
        <w:t>.</w:t>
      </w:r>
      <w:r w:rsidR="00B236DE" w:rsidRPr="002D0D60">
        <w:rPr>
          <w:lang w:val="fr-CH"/>
        </w:rPr>
        <w:t xml:space="preserve"> </w:t>
      </w:r>
      <w:r w:rsidR="0039658C" w:rsidRPr="002D0D60">
        <w:rPr>
          <w:lang w:val="fr-CH"/>
        </w:rPr>
        <w:t xml:space="preserve">Le champ d’application des critères radiologiques de mise hors service est </w:t>
      </w:r>
      <w:r w:rsidR="008E04E0" w:rsidRPr="002D0D60">
        <w:rPr>
          <w:lang w:val="fr-CH"/>
        </w:rPr>
        <w:t>drastiquement</w:t>
      </w:r>
      <w:r w:rsidR="0039658C" w:rsidRPr="002D0D60">
        <w:rPr>
          <w:lang w:val="fr-CH"/>
        </w:rPr>
        <w:t xml:space="preserve"> réduit et les valeurs limites correspondantes sont revues à la hausse. Si ces modifications ne concernent que quelques articles des ordonnances (notamment les a</w:t>
      </w:r>
      <w:r w:rsidR="00334BDE" w:rsidRPr="002D0D60">
        <w:rPr>
          <w:lang w:val="fr-CH"/>
        </w:rPr>
        <w:t xml:space="preserve">rt. 8 </w:t>
      </w:r>
      <w:r w:rsidR="0039658C" w:rsidRPr="002D0D60">
        <w:rPr>
          <w:lang w:val="fr-CH"/>
        </w:rPr>
        <w:t>et</w:t>
      </w:r>
      <w:r w:rsidR="00334BDE" w:rsidRPr="002D0D60">
        <w:rPr>
          <w:lang w:val="fr-CH"/>
        </w:rPr>
        <w:t xml:space="preserve"> Art. 44 </w:t>
      </w:r>
      <w:r w:rsidR="008F25B5" w:rsidRPr="002D0D60">
        <w:rPr>
          <w:lang w:val="fr-CH"/>
        </w:rPr>
        <w:t>OENu</w:t>
      </w:r>
      <w:r w:rsidR="00334BDE" w:rsidRPr="002D0D60">
        <w:rPr>
          <w:lang w:val="fr-CH"/>
        </w:rPr>
        <w:t>)</w:t>
      </w:r>
      <w:r w:rsidR="007539C2" w:rsidRPr="002D0D60">
        <w:rPr>
          <w:lang w:val="fr-CH"/>
        </w:rPr>
        <w:t xml:space="preserve">, </w:t>
      </w:r>
      <w:r w:rsidR="008F25B5" w:rsidRPr="002D0D60">
        <w:rPr>
          <w:lang w:val="fr-CH"/>
        </w:rPr>
        <w:t>elles ont pour conséquence un affaiblissement drastique des exigences en matière de sécurité nucléaire, comme explicité dans les quatre sections ci-après :</w:t>
      </w:r>
    </w:p>
    <w:p w14:paraId="41D65390" w14:textId="7CD77991" w:rsidR="00C43339" w:rsidRPr="002D0D60" w:rsidRDefault="008F25B5" w:rsidP="00C43339">
      <w:pPr>
        <w:pStyle w:val="berschrift3"/>
        <w:rPr>
          <w:lang w:val="fr-CH"/>
        </w:rPr>
      </w:pPr>
      <w:bookmarkStart w:id="12" w:name="_Ref507064587"/>
      <w:bookmarkStart w:id="13" w:name="_Ref507064592"/>
      <w:bookmarkStart w:id="14" w:name="_Toc509959552"/>
      <w:r w:rsidRPr="002D0D60">
        <w:rPr>
          <w:lang w:val="fr-CH"/>
        </w:rPr>
        <w:t xml:space="preserve">Premier affaiblissement : </w:t>
      </w:r>
      <w:r w:rsidR="00C05252" w:rsidRPr="002D0D60">
        <w:rPr>
          <w:lang w:val="fr-CH"/>
        </w:rPr>
        <w:t>réduction des critères radiologiques de mise hors service</w:t>
      </w:r>
      <w:bookmarkEnd w:id="12"/>
      <w:bookmarkEnd w:id="13"/>
      <w:bookmarkEnd w:id="14"/>
    </w:p>
    <w:p w14:paraId="4C8495D0" w14:textId="1DC1E120" w:rsidR="007539C2" w:rsidRPr="002D0D60" w:rsidRDefault="0013328E" w:rsidP="007539C2">
      <w:pPr>
        <w:rPr>
          <w:color w:val="000000" w:themeColor="text1"/>
          <w:lang w:val="fr-CH"/>
        </w:rPr>
      </w:pPr>
      <w:r w:rsidRPr="002D0D60">
        <w:rPr>
          <w:color w:val="000000" w:themeColor="text1"/>
          <w:lang w:val="fr-CH"/>
        </w:rPr>
        <w:t xml:space="preserve">La révision prévue réduit </w:t>
      </w:r>
      <w:r w:rsidR="008E04E0" w:rsidRPr="002D0D60">
        <w:rPr>
          <w:color w:val="000000" w:themeColor="text1"/>
          <w:lang w:val="fr-CH"/>
        </w:rPr>
        <w:t>drastiquement</w:t>
      </w:r>
      <w:r w:rsidRPr="002D0D60">
        <w:rPr>
          <w:color w:val="000000" w:themeColor="text1"/>
          <w:lang w:val="fr-CH"/>
        </w:rPr>
        <w:t xml:space="preserve"> </w:t>
      </w:r>
      <w:r w:rsidR="00F42825" w:rsidRPr="002D0D60">
        <w:rPr>
          <w:color w:val="000000" w:themeColor="text1"/>
          <w:lang w:val="fr-CH"/>
        </w:rPr>
        <w:t>le champ d’application des critères radiologiques de mise hors service</w:t>
      </w:r>
      <w:r w:rsidRPr="002D0D60">
        <w:rPr>
          <w:color w:val="000000" w:themeColor="text1"/>
          <w:lang w:val="fr-CH"/>
        </w:rPr>
        <w:t> :</w:t>
      </w:r>
    </w:p>
    <w:p w14:paraId="15742E0C" w14:textId="77777777" w:rsidR="007539C2" w:rsidRPr="002D0D60" w:rsidRDefault="007539C2" w:rsidP="007539C2">
      <w:pPr>
        <w:rPr>
          <w:color w:val="000000" w:themeColor="text1"/>
          <w:lang w:val="fr-CH"/>
        </w:rPr>
      </w:pPr>
    </w:p>
    <w:p w14:paraId="251741E7" w14:textId="0AD428A0" w:rsidR="007539C2" w:rsidRPr="002D0D60" w:rsidRDefault="00152DB1" w:rsidP="007539C2">
      <w:pPr>
        <w:rPr>
          <w:lang w:val="fr-CH"/>
        </w:rPr>
      </w:pPr>
      <w:r w:rsidRPr="002D0D60">
        <w:rPr>
          <w:lang w:val="fr-CH"/>
        </w:rPr>
        <w:t>L</w:t>
      </w:r>
      <w:r w:rsidR="008D063C" w:rsidRPr="002D0D60">
        <w:rPr>
          <w:lang w:val="fr-CH"/>
        </w:rPr>
        <w:t xml:space="preserve">es fréquences de plus de </w:t>
      </w:r>
      <w:r w:rsidR="007539C2" w:rsidRPr="002D0D60">
        <w:rPr>
          <w:lang w:val="fr-CH"/>
        </w:rPr>
        <w:t>10</w:t>
      </w:r>
      <w:r w:rsidR="007539C2" w:rsidRPr="002D0D60">
        <w:rPr>
          <w:vertAlign w:val="superscript"/>
          <w:lang w:val="fr-CH"/>
        </w:rPr>
        <w:t>-1</w:t>
      </w:r>
      <w:r w:rsidR="006449D4">
        <w:rPr>
          <w:lang w:val="fr-CH"/>
        </w:rPr>
        <w:t xml:space="preserve"> et celles </w:t>
      </w:r>
      <w:r w:rsidR="008D063C" w:rsidRPr="002D0D60">
        <w:rPr>
          <w:lang w:val="fr-CH"/>
        </w:rPr>
        <w:t xml:space="preserve">situées entre </w:t>
      </w:r>
      <w:r w:rsidR="007539C2" w:rsidRPr="002D0D60">
        <w:rPr>
          <w:lang w:val="fr-CH"/>
        </w:rPr>
        <w:t>10</w:t>
      </w:r>
      <w:r w:rsidR="007539C2" w:rsidRPr="002D0D60">
        <w:rPr>
          <w:vertAlign w:val="superscript"/>
          <w:lang w:val="fr-CH"/>
        </w:rPr>
        <w:t>-1</w:t>
      </w:r>
      <w:r w:rsidR="007539C2" w:rsidRPr="002D0D60">
        <w:rPr>
          <w:lang w:val="fr-CH"/>
        </w:rPr>
        <w:t xml:space="preserve"> </w:t>
      </w:r>
      <w:r w:rsidR="008D063C" w:rsidRPr="002D0D60">
        <w:rPr>
          <w:lang w:val="fr-CH"/>
        </w:rPr>
        <w:t>et</w:t>
      </w:r>
      <w:r w:rsidR="007539C2" w:rsidRPr="002D0D60">
        <w:rPr>
          <w:lang w:val="fr-CH"/>
        </w:rPr>
        <w:t xml:space="preserve"> 10</w:t>
      </w:r>
      <w:r w:rsidR="007539C2" w:rsidRPr="002D0D60">
        <w:rPr>
          <w:vertAlign w:val="superscript"/>
          <w:lang w:val="fr-CH"/>
        </w:rPr>
        <w:t>–2</w:t>
      </w:r>
      <w:r w:rsidR="00823562">
        <w:rPr>
          <w:lang w:val="fr-CH"/>
        </w:rPr>
        <w:t xml:space="preserve"> </w:t>
      </w:r>
      <w:r w:rsidRPr="002D0D60">
        <w:rPr>
          <w:lang w:val="fr-CH"/>
        </w:rPr>
        <w:t>sont soumises aux</w:t>
      </w:r>
      <w:r w:rsidR="004109DE" w:rsidRPr="002D0D60">
        <w:rPr>
          <w:lang w:val="fr-CH"/>
        </w:rPr>
        <w:t xml:space="preserve"> valeurs directrices de dose liées à la source selon l’a</w:t>
      </w:r>
      <w:r w:rsidR="007539C2" w:rsidRPr="002D0D60">
        <w:rPr>
          <w:lang w:val="fr-CH"/>
        </w:rPr>
        <w:t xml:space="preserve">rt. 94 </w:t>
      </w:r>
      <w:r w:rsidR="004109DE" w:rsidRPr="002D0D60">
        <w:rPr>
          <w:lang w:val="fr-CH"/>
        </w:rPr>
        <w:t>al</w:t>
      </w:r>
      <w:r w:rsidR="007539C2" w:rsidRPr="002D0D60">
        <w:rPr>
          <w:lang w:val="fr-CH"/>
        </w:rPr>
        <w:t xml:space="preserve">. 2 </w:t>
      </w:r>
      <w:r w:rsidR="004109DE" w:rsidRPr="002D0D60">
        <w:rPr>
          <w:lang w:val="fr-CH"/>
        </w:rPr>
        <w:t xml:space="preserve">et </w:t>
      </w:r>
      <w:r w:rsidR="007539C2" w:rsidRPr="002D0D60">
        <w:rPr>
          <w:lang w:val="fr-CH"/>
        </w:rPr>
        <w:t xml:space="preserve">3 </w:t>
      </w:r>
      <w:r w:rsidR="00B07B4E" w:rsidRPr="002D0D60">
        <w:rPr>
          <w:lang w:val="fr-CH"/>
        </w:rPr>
        <w:t>ORaP</w:t>
      </w:r>
      <w:r w:rsidR="007539C2" w:rsidRPr="002D0D60">
        <w:rPr>
          <w:rStyle w:val="Funotenzeichen"/>
          <w:lang w:val="fr-CH"/>
        </w:rPr>
        <w:footnoteReference w:id="16"/>
      </w:r>
      <w:r w:rsidR="007539C2" w:rsidRPr="002D0D60">
        <w:rPr>
          <w:lang w:val="fr-CH"/>
        </w:rPr>
        <w:t xml:space="preserve">. </w:t>
      </w:r>
      <w:r w:rsidR="00520204" w:rsidRPr="002D0D60">
        <w:rPr>
          <w:lang w:val="fr-CH"/>
        </w:rPr>
        <w:t xml:space="preserve">Un dépassement de ces valeurs dans le cadre de l’analyse </w:t>
      </w:r>
      <w:r w:rsidR="00A30D17" w:rsidRPr="002D0D60">
        <w:rPr>
          <w:lang w:val="fr-CH"/>
        </w:rPr>
        <w:t>de défaillances</w:t>
      </w:r>
      <w:r w:rsidR="007539C2" w:rsidRPr="002D0D60">
        <w:rPr>
          <w:lang w:val="fr-CH"/>
        </w:rPr>
        <w:t xml:space="preserve"> </w:t>
      </w:r>
      <w:r w:rsidR="007C3F86" w:rsidRPr="002D0D60">
        <w:rPr>
          <w:lang w:val="fr-CH"/>
        </w:rPr>
        <w:t xml:space="preserve">a pour </w:t>
      </w:r>
      <w:r w:rsidR="00316252" w:rsidRPr="002D0D60">
        <w:rPr>
          <w:lang w:val="fr-CH"/>
        </w:rPr>
        <w:t>conséquence</w:t>
      </w:r>
      <w:r w:rsidR="007C3F86" w:rsidRPr="002D0D60">
        <w:rPr>
          <w:lang w:val="fr-CH"/>
        </w:rPr>
        <w:t xml:space="preserve"> une mise hors service provisoire. </w:t>
      </w:r>
      <w:r w:rsidR="0070437C" w:rsidRPr="002D0D60">
        <w:rPr>
          <w:lang w:val="fr-CH"/>
        </w:rPr>
        <w:t>Avec la</w:t>
      </w:r>
      <w:r w:rsidR="007C3F86" w:rsidRPr="002D0D60">
        <w:rPr>
          <w:lang w:val="fr-CH"/>
        </w:rPr>
        <w:t xml:space="preserve"> révision proposée</w:t>
      </w:r>
      <w:r w:rsidR="0070437C" w:rsidRPr="002D0D60">
        <w:rPr>
          <w:lang w:val="fr-CH"/>
        </w:rPr>
        <w:t>, ces deux catégories disparaissent purement et simplement</w:t>
      </w:r>
      <w:r w:rsidR="006449D4">
        <w:rPr>
          <w:lang w:val="fr-CH"/>
        </w:rPr>
        <w:t xml:space="preserve"> en ce qui concerne la mise hors service</w:t>
      </w:r>
      <w:r w:rsidR="007539C2" w:rsidRPr="002D0D60">
        <w:rPr>
          <w:lang w:val="fr-CH"/>
        </w:rPr>
        <w:t>.</w:t>
      </w:r>
    </w:p>
    <w:p w14:paraId="0847EF99" w14:textId="77777777" w:rsidR="007539C2" w:rsidRPr="002D0D60" w:rsidRDefault="007539C2" w:rsidP="007539C2">
      <w:pPr>
        <w:rPr>
          <w:color w:val="000000" w:themeColor="text1"/>
          <w:lang w:val="fr-CH"/>
        </w:rPr>
      </w:pPr>
    </w:p>
    <w:p w14:paraId="1FD7CED2" w14:textId="2D5EB256" w:rsidR="007539C2" w:rsidRPr="002D0D60" w:rsidRDefault="009C4704" w:rsidP="007539C2">
      <w:pPr>
        <w:pStyle w:val="Listenabsatz"/>
        <w:numPr>
          <w:ilvl w:val="0"/>
          <w:numId w:val="14"/>
        </w:numPr>
        <w:rPr>
          <w:color w:val="000000" w:themeColor="text1"/>
          <w:lang w:val="fr-CH"/>
        </w:rPr>
      </w:pPr>
      <w:r w:rsidRPr="002D0D60">
        <w:rPr>
          <w:color w:val="000000" w:themeColor="text1"/>
          <w:lang w:val="fr-CH"/>
        </w:rPr>
        <w:t>Il est vrai que pour</w:t>
      </w:r>
      <w:r w:rsidR="009D70F3" w:rsidRPr="002D0D60">
        <w:rPr>
          <w:color w:val="000000" w:themeColor="text1"/>
          <w:lang w:val="fr-CH"/>
        </w:rPr>
        <w:t xml:space="preserve"> la fréquence correspondant exactement à </w:t>
      </w:r>
      <w:r w:rsidR="007539C2" w:rsidRPr="002D0D60">
        <w:rPr>
          <w:color w:val="000000" w:themeColor="text1"/>
          <w:lang w:val="fr-CH"/>
        </w:rPr>
        <w:t>10</w:t>
      </w:r>
      <w:r w:rsidR="007539C2" w:rsidRPr="002D0D60">
        <w:rPr>
          <w:color w:val="000000" w:themeColor="text1"/>
          <w:vertAlign w:val="superscript"/>
          <w:lang w:val="fr-CH"/>
        </w:rPr>
        <w:t>-3</w:t>
      </w:r>
      <w:r w:rsidRPr="002D0D60">
        <w:rPr>
          <w:color w:val="000000" w:themeColor="text1"/>
          <w:lang w:val="fr-CH"/>
        </w:rPr>
        <w:t xml:space="preserve">, </w:t>
      </w:r>
      <w:r w:rsidR="00D957CA" w:rsidRPr="002D0D60">
        <w:rPr>
          <w:color w:val="000000" w:themeColor="text1"/>
          <w:lang w:val="fr-CH"/>
        </w:rPr>
        <w:t xml:space="preserve">les exploitants doivent démontrer qu’un accident n’entraînera pas de dépassement de la valeur limite de </w:t>
      </w:r>
      <w:r w:rsidR="007539C2" w:rsidRPr="002D0D60">
        <w:rPr>
          <w:color w:val="000000" w:themeColor="text1"/>
          <w:lang w:val="fr-CH"/>
        </w:rPr>
        <w:t xml:space="preserve">1 mSv. </w:t>
      </w:r>
      <w:r w:rsidR="00D957CA" w:rsidRPr="002D0D60">
        <w:rPr>
          <w:color w:val="000000" w:themeColor="text1"/>
          <w:lang w:val="fr-CH"/>
        </w:rPr>
        <w:t xml:space="preserve">Si ce justificatif n’est pas fourni, cela ne donnera toutefois pas lieu à une mise hors service provisoire, contrairement à la situation actuelle. Le critère de mise hors service qu’est la valeur limite </w:t>
      </w:r>
      <w:r w:rsidR="00AC1BF1">
        <w:rPr>
          <w:color w:val="000000" w:themeColor="text1"/>
          <w:lang w:val="fr-CH"/>
        </w:rPr>
        <w:t xml:space="preserve">de </w:t>
      </w:r>
      <w:r w:rsidR="002C5662" w:rsidRPr="002D0D60">
        <w:rPr>
          <w:color w:val="000000" w:themeColor="text1"/>
          <w:lang w:val="fr-CH"/>
        </w:rPr>
        <w:t>1</w:t>
      </w:r>
      <w:r w:rsidR="00D957CA" w:rsidRPr="002D0D60">
        <w:rPr>
          <w:color w:val="000000" w:themeColor="text1"/>
          <w:lang w:val="fr-CH"/>
        </w:rPr>
        <w:t> </w:t>
      </w:r>
      <w:r w:rsidR="002C5662" w:rsidRPr="002D0D60">
        <w:rPr>
          <w:color w:val="000000" w:themeColor="text1"/>
          <w:lang w:val="fr-CH"/>
        </w:rPr>
        <w:t xml:space="preserve">mSv </w:t>
      </w:r>
      <w:r w:rsidR="00D957CA" w:rsidRPr="002D0D60">
        <w:rPr>
          <w:color w:val="000000" w:themeColor="text1"/>
          <w:lang w:val="fr-CH"/>
        </w:rPr>
        <w:t xml:space="preserve">est ainsi supprimé. En cas de dépassement, il y a simplement obligation de rééquiper l’installation. Or la pratique de l’IFSN jusqu’ici montre que les rééquipements </w:t>
      </w:r>
      <w:r w:rsidR="00D13944">
        <w:rPr>
          <w:color w:val="000000" w:themeColor="text1"/>
          <w:lang w:val="fr-CH"/>
        </w:rPr>
        <w:t>peuvent être</w:t>
      </w:r>
      <w:r w:rsidR="00D957CA" w:rsidRPr="002D0D60">
        <w:rPr>
          <w:color w:val="000000" w:themeColor="text1"/>
          <w:lang w:val="fr-CH"/>
        </w:rPr>
        <w:t xml:space="preserve"> </w:t>
      </w:r>
      <w:r w:rsidR="00ED4585" w:rsidRPr="002D0D60">
        <w:rPr>
          <w:color w:val="000000" w:themeColor="text1"/>
          <w:lang w:val="fr-CH"/>
        </w:rPr>
        <w:t>reportés sur des dizaines d’</w:t>
      </w:r>
      <w:r w:rsidR="006900A7" w:rsidRPr="002D0D60">
        <w:rPr>
          <w:color w:val="000000" w:themeColor="text1"/>
          <w:lang w:val="fr-CH"/>
        </w:rPr>
        <w:t>années</w:t>
      </w:r>
      <w:r w:rsidR="002C5662" w:rsidRPr="002D0D60">
        <w:rPr>
          <w:color w:val="000000" w:themeColor="text1"/>
          <w:lang w:val="fr-CH"/>
        </w:rPr>
        <w:t xml:space="preserve"> (</w:t>
      </w:r>
      <w:r w:rsidR="006900A7" w:rsidRPr="002D0D60">
        <w:rPr>
          <w:color w:val="000000" w:themeColor="text1"/>
          <w:lang w:val="fr-CH"/>
        </w:rPr>
        <w:t>par ex.</w:t>
      </w:r>
      <w:r w:rsidR="00F326F4" w:rsidRPr="002D0D60">
        <w:rPr>
          <w:color w:val="000000" w:themeColor="text1"/>
          <w:lang w:val="fr-CH"/>
        </w:rPr>
        <w:t xml:space="preserve"> l</w:t>
      </w:r>
      <w:r w:rsidR="00F326F4" w:rsidRPr="002D0D60">
        <w:rPr>
          <w:lang w:val="fr-CH"/>
        </w:rPr>
        <w:t>’</w:t>
      </w:r>
      <w:r w:rsidR="00F326F4" w:rsidRPr="002D0D60">
        <w:rPr>
          <w:color w:val="000000" w:themeColor="text1"/>
          <w:lang w:val="fr-CH"/>
        </w:rPr>
        <w:t xml:space="preserve">alimentation de secours en électricité de </w:t>
      </w:r>
      <w:r w:rsidR="002C5662" w:rsidRPr="002D0D60">
        <w:rPr>
          <w:color w:val="000000" w:themeColor="text1"/>
          <w:lang w:val="fr-CH"/>
        </w:rPr>
        <w:t>Beznau)</w:t>
      </w:r>
      <w:r w:rsidR="007539C2" w:rsidRPr="002D0D60">
        <w:rPr>
          <w:color w:val="000000" w:themeColor="text1"/>
          <w:lang w:val="fr-CH"/>
        </w:rPr>
        <w:t>.</w:t>
      </w:r>
    </w:p>
    <w:p w14:paraId="3A1CA745" w14:textId="4E96458B" w:rsidR="003C55A6" w:rsidRPr="002D0D60" w:rsidRDefault="00326AB8" w:rsidP="007539C2">
      <w:pPr>
        <w:pStyle w:val="Listenabsatz"/>
        <w:numPr>
          <w:ilvl w:val="0"/>
          <w:numId w:val="14"/>
        </w:numPr>
        <w:rPr>
          <w:color w:val="000000" w:themeColor="text1"/>
          <w:lang w:val="fr-CH"/>
        </w:rPr>
      </w:pPr>
      <w:r w:rsidRPr="002D0D60">
        <w:rPr>
          <w:color w:val="000000" w:themeColor="text1"/>
          <w:lang w:val="fr-CH"/>
        </w:rPr>
        <w:t xml:space="preserve">Pour les fréquences situées entre </w:t>
      </w:r>
      <w:r w:rsidR="003C55A6" w:rsidRPr="002D0D60">
        <w:rPr>
          <w:color w:val="000000" w:themeColor="text1"/>
          <w:lang w:val="fr-CH"/>
        </w:rPr>
        <w:t>10</w:t>
      </w:r>
      <w:r w:rsidR="003C55A6" w:rsidRPr="002D0D60">
        <w:rPr>
          <w:color w:val="000000" w:themeColor="text1"/>
          <w:vertAlign w:val="superscript"/>
          <w:lang w:val="fr-CH"/>
        </w:rPr>
        <w:t>-3</w:t>
      </w:r>
      <w:r w:rsidR="003C55A6" w:rsidRPr="002D0D60">
        <w:rPr>
          <w:color w:val="000000" w:themeColor="text1"/>
          <w:lang w:val="fr-CH"/>
        </w:rPr>
        <w:t xml:space="preserve"> </w:t>
      </w:r>
      <w:r w:rsidRPr="002D0D60">
        <w:rPr>
          <w:color w:val="000000" w:themeColor="text1"/>
          <w:lang w:val="fr-CH"/>
        </w:rPr>
        <w:t>et</w:t>
      </w:r>
      <w:r w:rsidR="003C55A6" w:rsidRPr="002D0D60">
        <w:rPr>
          <w:color w:val="000000" w:themeColor="text1"/>
          <w:lang w:val="fr-CH"/>
        </w:rPr>
        <w:t xml:space="preserve"> 10</w:t>
      </w:r>
      <w:r w:rsidR="003C55A6" w:rsidRPr="002D0D60">
        <w:rPr>
          <w:color w:val="000000" w:themeColor="text1"/>
          <w:vertAlign w:val="superscript"/>
          <w:lang w:val="fr-CH"/>
        </w:rPr>
        <w:t>-4</w:t>
      </w:r>
      <w:r w:rsidRPr="002D0D60">
        <w:rPr>
          <w:color w:val="000000" w:themeColor="text1"/>
          <w:lang w:val="fr-CH"/>
        </w:rPr>
        <w:t>, la révision crée une lacune grave, car elle lève tout simplement l’obligation de respecter la valeur limite de dose fixée par l’ordonnance</w:t>
      </w:r>
      <w:r w:rsidRPr="002D0D60">
        <w:rPr>
          <w:lang w:val="fr-CH"/>
        </w:rPr>
        <w:t xml:space="preserve"> </w:t>
      </w:r>
      <w:r w:rsidRPr="002D0D60">
        <w:rPr>
          <w:color w:val="000000" w:themeColor="text1"/>
          <w:lang w:val="fr-CH"/>
        </w:rPr>
        <w:t>sur la radioprotection. Ce critère de mise hors service est donc également supprimé. En outre, la révision supprime même l’</w:t>
      </w:r>
      <w:r w:rsidR="00AC2994" w:rsidRPr="002D0D60">
        <w:rPr>
          <w:color w:val="000000" w:themeColor="text1"/>
          <w:lang w:val="fr-CH"/>
        </w:rPr>
        <w:t xml:space="preserve">obligation de rééquipement, étant donné que pour ce domaine de fréquences, aucun justificatif n’est plus requis. Il en découle que </w:t>
      </w:r>
      <w:r w:rsidR="000C0C23" w:rsidRPr="002D0D60">
        <w:rPr>
          <w:color w:val="000000" w:themeColor="text1"/>
          <w:lang w:val="fr-CH"/>
        </w:rPr>
        <w:t xml:space="preserve">le risque admissible </w:t>
      </w:r>
      <w:r w:rsidR="00D71734">
        <w:rPr>
          <w:color w:val="000000" w:themeColor="text1"/>
          <w:lang w:val="fr-CH"/>
        </w:rPr>
        <w:t xml:space="preserve">augmente </w:t>
      </w:r>
      <w:r w:rsidR="00D13944">
        <w:rPr>
          <w:color w:val="000000" w:themeColor="text1"/>
          <w:lang w:val="fr-CH"/>
        </w:rPr>
        <w:t xml:space="preserve">y compris </w:t>
      </w:r>
      <w:r w:rsidR="000C0C23" w:rsidRPr="002D0D60">
        <w:rPr>
          <w:color w:val="000000" w:themeColor="text1"/>
          <w:lang w:val="fr-CH"/>
        </w:rPr>
        <w:t>en matière d</w:t>
      </w:r>
      <w:r w:rsidR="00AC2994" w:rsidRPr="002D0D60">
        <w:rPr>
          <w:color w:val="000000" w:themeColor="text1"/>
          <w:lang w:val="fr-CH"/>
        </w:rPr>
        <w:t>’ob</w:t>
      </w:r>
      <w:r w:rsidR="00AA5E43" w:rsidRPr="002D0D60">
        <w:rPr>
          <w:color w:val="000000" w:themeColor="text1"/>
          <w:lang w:val="fr-CH"/>
        </w:rPr>
        <w:t>ligation de rééquipement</w:t>
      </w:r>
      <w:r w:rsidR="00D13944">
        <w:rPr>
          <w:color w:val="000000" w:themeColor="text1"/>
          <w:lang w:val="fr-CH"/>
        </w:rPr>
        <w:t>, à savoir</w:t>
      </w:r>
      <w:r w:rsidR="000C0C23" w:rsidRPr="002D0D60">
        <w:rPr>
          <w:color w:val="000000" w:themeColor="text1"/>
          <w:lang w:val="fr-CH"/>
        </w:rPr>
        <w:t xml:space="preserve"> d’</w:t>
      </w:r>
      <w:r w:rsidR="00CF617D" w:rsidRPr="002D0D60">
        <w:rPr>
          <w:color w:val="000000" w:themeColor="text1"/>
          <w:lang w:val="fr-CH"/>
        </w:rPr>
        <w:t>un facteur 10</w:t>
      </w:r>
      <w:r w:rsidR="003C55A6" w:rsidRPr="002D0D60">
        <w:rPr>
          <w:color w:val="000000" w:themeColor="text1"/>
          <w:lang w:val="fr-CH"/>
        </w:rPr>
        <w:t>.</w:t>
      </w:r>
    </w:p>
    <w:p w14:paraId="7951E4C6" w14:textId="77777777" w:rsidR="007539C2" w:rsidRPr="002D0D60" w:rsidRDefault="007539C2" w:rsidP="00FA1D47">
      <w:pPr>
        <w:rPr>
          <w:lang w:val="fr-CH"/>
        </w:rPr>
      </w:pPr>
    </w:p>
    <w:p w14:paraId="20054519" w14:textId="4632961F" w:rsidR="005D236A" w:rsidRPr="002D0D60" w:rsidRDefault="008D4E9A" w:rsidP="005D236A">
      <w:pPr>
        <w:rPr>
          <w:lang w:val="fr-CH"/>
        </w:rPr>
      </w:pPr>
      <w:r w:rsidRPr="002D0D60">
        <w:rPr>
          <w:lang w:val="fr-CH"/>
        </w:rPr>
        <w:t>Étant donné que</w:t>
      </w:r>
      <w:r w:rsidR="00CF617D" w:rsidRPr="002D0D60">
        <w:rPr>
          <w:lang w:val="fr-CH"/>
        </w:rPr>
        <w:t xml:space="preserve"> révision telle que proposée n’oblige les exploitants à vérifier que deux événements précis (concrètement un événement survenant tous les 1000 ans et un événement survenant tous les 10 </w:t>
      </w:r>
      <w:r w:rsidR="005D236A" w:rsidRPr="002D0D60">
        <w:rPr>
          <w:lang w:val="fr-CH"/>
        </w:rPr>
        <w:t>000</w:t>
      </w:r>
      <w:r w:rsidR="00CF617D" w:rsidRPr="002D0D60">
        <w:rPr>
          <w:lang w:val="fr-CH"/>
        </w:rPr>
        <w:t xml:space="preserve"> ans), la protection </w:t>
      </w:r>
      <w:r w:rsidRPr="002D0D60">
        <w:rPr>
          <w:lang w:val="fr-CH"/>
        </w:rPr>
        <w:t>promise par l’art. 15 de la Convention sur la sûreté</w:t>
      </w:r>
      <w:r w:rsidR="00496730" w:rsidRPr="002D0D60">
        <w:rPr>
          <w:lang w:val="fr-CH"/>
        </w:rPr>
        <w:t xml:space="preserve"> nucléaire</w:t>
      </w:r>
      <w:r w:rsidRPr="002D0D60">
        <w:rPr>
          <w:lang w:val="fr-CH"/>
        </w:rPr>
        <w:t xml:space="preserve"> et par </w:t>
      </w:r>
      <w:r w:rsidR="00795E70" w:rsidRPr="002D0D60">
        <w:rPr>
          <w:lang w:val="fr-CH"/>
        </w:rPr>
        <w:t>l’</w:t>
      </w:r>
      <w:r w:rsidR="00287B42" w:rsidRPr="002D0D60">
        <w:rPr>
          <w:lang w:val="fr-CH"/>
        </w:rPr>
        <w:t>a</w:t>
      </w:r>
      <w:r w:rsidR="005D236A" w:rsidRPr="002D0D60">
        <w:rPr>
          <w:lang w:val="fr-CH"/>
        </w:rPr>
        <w:t xml:space="preserve">rt. 4. </w:t>
      </w:r>
      <w:r w:rsidR="00287B42" w:rsidRPr="002D0D60">
        <w:rPr>
          <w:lang w:val="fr-CH"/>
        </w:rPr>
        <w:t>al. </w:t>
      </w:r>
      <w:r w:rsidR="005D236A" w:rsidRPr="002D0D60">
        <w:rPr>
          <w:lang w:val="fr-CH"/>
        </w:rPr>
        <w:t xml:space="preserve">1 </w:t>
      </w:r>
      <w:r w:rsidR="00C1772F" w:rsidRPr="002D0D60">
        <w:rPr>
          <w:lang w:val="fr-CH"/>
        </w:rPr>
        <w:t xml:space="preserve">LENu </w:t>
      </w:r>
      <w:r w:rsidR="00496730" w:rsidRPr="002D0D60">
        <w:rPr>
          <w:lang w:val="fr-CH"/>
        </w:rPr>
        <w:t>est garantie, tout au plus, d</w:t>
      </w:r>
      <w:r w:rsidR="00795E70" w:rsidRPr="002D0D60">
        <w:rPr>
          <w:lang w:val="fr-CH"/>
        </w:rPr>
        <w:t>e manière</w:t>
      </w:r>
      <w:r w:rsidR="005D236A" w:rsidRPr="002D0D60">
        <w:rPr>
          <w:lang w:val="fr-CH"/>
        </w:rPr>
        <w:t xml:space="preserve"> </w:t>
      </w:r>
      <w:r w:rsidR="00795E70" w:rsidRPr="002D0D60">
        <w:rPr>
          <w:i/>
          <w:lang w:val="fr-CH"/>
        </w:rPr>
        <w:t>ponctuelle</w:t>
      </w:r>
      <w:r w:rsidR="00795E70" w:rsidRPr="002D0D60">
        <w:rPr>
          <w:lang w:val="fr-CH"/>
        </w:rPr>
        <w:t>, et non</w:t>
      </w:r>
      <w:r w:rsidR="00496730" w:rsidRPr="002D0D60">
        <w:rPr>
          <w:lang w:val="fr-CH"/>
        </w:rPr>
        <w:t xml:space="preserve"> </w:t>
      </w:r>
      <w:r w:rsidR="00496730" w:rsidRPr="002D0D60">
        <w:rPr>
          <w:lang w:val="fr-CH"/>
        </w:rPr>
        <w:lastRenderedPageBreak/>
        <w:t>plus</w:t>
      </w:r>
      <w:r w:rsidR="00795E70" w:rsidRPr="002D0D60">
        <w:rPr>
          <w:lang w:val="fr-CH"/>
        </w:rPr>
        <w:t xml:space="preserve"> de manière</w:t>
      </w:r>
      <w:r w:rsidR="00795E70" w:rsidRPr="002D0D60">
        <w:rPr>
          <w:i/>
          <w:lang w:val="fr-CH"/>
        </w:rPr>
        <w:t xml:space="preserve"> </w:t>
      </w:r>
      <w:r w:rsidR="00711AFA" w:rsidRPr="002D0D60">
        <w:rPr>
          <w:i/>
          <w:lang w:val="fr-CH"/>
        </w:rPr>
        <w:t>enveloppante</w:t>
      </w:r>
      <w:r w:rsidR="00795E70" w:rsidRPr="002D0D60">
        <w:rPr>
          <w:i/>
          <w:lang w:val="fr-CH"/>
        </w:rPr>
        <w:t xml:space="preserve">. </w:t>
      </w:r>
      <w:r w:rsidR="00496730" w:rsidRPr="002D0D60">
        <w:rPr>
          <w:lang w:val="fr-CH"/>
        </w:rPr>
        <w:t xml:space="preserve">Comme nous l’avons démontré ci-dessus, ces deux dispositions du droit supérieur </w:t>
      </w:r>
      <w:r w:rsidR="00FF71A0" w:rsidRPr="002D0D60">
        <w:rPr>
          <w:lang w:val="fr-CH"/>
        </w:rPr>
        <w:t xml:space="preserve">exigent une protection complète, et non uniquement ponctuelle, de la population contre le dépassement des valeurs limites de dose </w:t>
      </w:r>
      <w:r w:rsidR="002E68F6" w:rsidRPr="002D0D60">
        <w:rPr>
          <w:lang w:val="fr-CH"/>
        </w:rPr>
        <w:t>déterminantes. L’art. 1 le</w:t>
      </w:r>
      <w:r w:rsidR="004449FA" w:rsidRPr="002D0D60">
        <w:rPr>
          <w:lang w:val="fr-CH"/>
        </w:rPr>
        <w:t xml:space="preserve">t. e </w:t>
      </w:r>
      <w:r w:rsidR="006736BF" w:rsidRPr="002D0D60">
        <w:rPr>
          <w:lang w:val="fr-CH"/>
        </w:rPr>
        <w:t>de l’ordonnance sur les hypothèses de risque exige</w:t>
      </w:r>
      <w:r w:rsidR="00D16F4C" w:rsidRPr="002D0D60">
        <w:rPr>
          <w:lang w:val="fr-CH"/>
        </w:rPr>
        <w:t>,</w:t>
      </w:r>
      <w:r w:rsidR="006736BF" w:rsidRPr="002D0D60">
        <w:rPr>
          <w:lang w:val="fr-CH"/>
        </w:rPr>
        <w:t xml:space="preserve"> à juste titre</w:t>
      </w:r>
      <w:r w:rsidR="00D16F4C" w:rsidRPr="002D0D60">
        <w:rPr>
          <w:lang w:val="fr-CH"/>
        </w:rPr>
        <w:t>,</w:t>
      </w:r>
      <w:r w:rsidR="006736BF" w:rsidRPr="002D0D60">
        <w:rPr>
          <w:lang w:val="fr-CH"/>
        </w:rPr>
        <w:t xml:space="preserve"> un justificatif basé sur une ana</w:t>
      </w:r>
      <w:r w:rsidR="00CF3F98" w:rsidRPr="002D0D60">
        <w:rPr>
          <w:lang w:val="fr-CH"/>
        </w:rPr>
        <w:t>lyse de</w:t>
      </w:r>
      <w:r w:rsidR="006736BF" w:rsidRPr="002D0D60">
        <w:rPr>
          <w:lang w:val="fr-CH"/>
        </w:rPr>
        <w:t xml:space="preserve"> défaillances </w:t>
      </w:r>
      <w:r w:rsidR="0029207C" w:rsidRPr="002D0D60">
        <w:rPr>
          <w:lang w:val="fr-CH"/>
        </w:rPr>
        <w:t xml:space="preserve">déterministe </w:t>
      </w:r>
      <w:r w:rsidR="00CA7060" w:rsidRPr="002D0D60">
        <w:rPr>
          <w:i/>
          <w:lang w:val="fr-CH"/>
        </w:rPr>
        <w:t>« </w:t>
      </w:r>
      <w:r w:rsidR="00C9429C" w:rsidRPr="002D0D60">
        <w:rPr>
          <w:i/>
          <w:lang w:val="fr-CH"/>
        </w:rPr>
        <w:t xml:space="preserve">qui </w:t>
      </w:r>
      <w:r w:rsidR="00CA7060" w:rsidRPr="002D0D60">
        <w:rPr>
          <w:i/>
          <w:lang w:val="fr-CH"/>
        </w:rPr>
        <w:t>doit servir à prouver</w:t>
      </w:r>
      <w:r w:rsidR="00C9429C" w:rsidRPr="002D0D60">
        <w:rPr>
          <w:i/>
          <w:lang w:val="fr-CH"/>
        </w:rPr>
        <w:t xml:space="preserve"> </w:t>
      </w:r>
      <w:r w:rsidR="00D16F4C" w:rsidRPr="002D0D60">
        <w:rPr>
          <w:i/>
          <w:lang w:val="fr-CH"/>
        </w:rPr>
        <w:t>que les mesures de protection prises permettent de maîtriser efficacement un éventail enveloppant de défaillances</w:t>
      </w:r>
      <w:r w:rsidR="00CA7060" w:rsidRPr="002D0D60">
        <w:rPr>
          <w:i/>
          <w:lang w:val="fr-CH"/>
        </w:rPr>
        <w:t>,</w:t>
      </w:r>
      <w:r w:rsidR="00D16F4C" w:rsidRPr="002D0D60">
        <w:rPr>
          <w:i/>
          <w:lang w:val="fr-CH"/>
        </w:rPr>
        <w:t xml:space="preserve"> et à garantir ainsi que les objectifs fondamentaux de protection sont respectés</w:t>
      </w:r>
      <w:r w:rsidR="00CA7060" w:rsidRPr="002D0D60">
        <w:rPr>
          <w:i/>
          <w:lang w:val="fr-CH"/>
        </w:rPr>
        <w:t>. »</w:t>
      </w:r>
      <w:r w:rsidR="00D16F4C" w:rsidRPr="002D0D60">
        <w:rPr>
          <w:i/>
          <w:lang w:val="fr-CH"/>
        </w:rPr>
        <w:t xml:space="preserve"> </w:t>
      </w:r>
      <w:r w:rsidR="009D1800" w:rsidRPr="002D0D60">
        <w:rPr>
          <w:lang w:val="fr-CH"/>
        </w:rPr>
        <w:t xml:space="preserve">Une démarche qui se limite à examiner quelques fréquences </w:t>
      </w:r>
      <w:r w:rsidR="003410E1">
        <w:rPr>
          <w:lang w:val="fr-CH"/>
        </w:rPr>
        <w:t>ponctuelle</w:t>
      </w:r>
      <w:r w:rsidR="009C0048">
        <w:rPr>
          <w:lang w:val="fr-CH"/>
        </w:rPr>
        <w:t>s</w:t>
      </w:r>
      <w:r w:rsidR="003410E1">
        <w:rPr>
          <w:lang w:val="fr-CH"/>
        </w:rPr>
        <w:t xml:space="preserve"> </w:t>
      </w:r>
      <w:r w:rsidR="009D1800" w:rsidRPr="002D0D60">
        <w:rPr>
          <w:lang w:val="fr-CH"/>
        </w:rPr>
        <w:t xml:space="preserve">d’événements n’est pas </w:t>
      </w:r>
      <w:r w:rsidR="00C06D2D" w:rsidRPr="002D0D60">
        <w:rPr>
          <w:lang w:val="fr-CH"/>
        </w:rPr>
        <w:t xml:space="preserve">compatible avec ce principe. Ceci est d’autant plus vrai </w:t>
      </w:r>
      <w:r w:rsidR="009C0048">
        <w:rPr>
          <w:lang w:val="fr-CH"/>
        </w:rPr>
        <w:t>lorsque</w:t>
      </w:r>
      <w:r w:rsidR="00C06D2D" w:rsidRPr="002D0D60">
        <w:rPr>
          <w:lang w:val="fr-CH"/>
        </w:rPr>
        <w:t xml:space="preserve"> la seule valeur limite de dose déclarée comme déterminante </w:t>
      </w:r>
      <w:r w:rsidR="009F6C91" w:rsidRPr="002D0D60">
        <w:rPr>
          <w:lang w:val="fr-CH"/>
        </w:rPr>
        <w:t>est celle de l</w:t>
      </w:r>
      <w:r w:rsidR="00C06D2D" w:rsidRPr="002D0D60">
        <w:rPr>
          <w:lang w:val="fr-CH"/>
        </w:rPr>
        <w:t xml:space="preserve">a catégorie </w:t>
      </w:r>
      <w:r w:rsidR="009F6C91" w:rsidRPr="002D0D60">
        <w:rPr>
          <w:lang w:val="fr-CH"/>
        </w:rPr>
        <w:t xml:space="preserve">supérieure </w:t>
      </w:r>
      <w:r w:rsidR="00C06D2D" w:rsidRPr="002D0D60">
        <w:rPr>
          <w:lang w:val="fr-CH"/>
        </w:rPr>
        <w:t>d’accident</w:t>
      </w:r>
      <w:r w:rsidR="009F6C91" w:rsidRPr="002D0D60">
        <w:rPr>
          <w:lang w:val="fr-CH"/>
        </w:rPr>
        <w:t>.</w:t>
      </w:r>
    </w:p>
    <w:p w14:paraId="55C27D22" w14:textId="77777777" w:rsidR="007539C2" w:rsidRPr="002D0D60" w:rsidRDefault="007539C2" w:rsidP="00FA1D47">
      <w:pPr>
        <w:rPr>
          <w:lang w:val="fr-CH"/>
        </w:rPr>
      </w:pPr>
    </w:p>
    <w:p w14:paraId="5FFF1F49" w14:textId="6EFEB216" w:rsidR="00BB5795" w:rsidRPr="002D0D60" w:rsidRDefault="00CF77D0" w:rsidP="00FA1D47">
      <w:pPr>
        <w:rPr>
          <w:lang w:val="fr-CH"/>
        </w:rPr>
      </w:pPr>
      <w:r w:rsidRPr="002D0D60">
        <w:rPr>
          <w:lang w:val="fr-CH"/>
        </w:rPr>
        <w:t xml:space="preserve">Si cette protection enveloppante n’est plus garantie, </w:t>
      </w:r>
      <w:r w:rsidR="001D0A53" w:rsidRPr="002D0D60">
        <w:rPr>
          <w:lang w:val="fr-CH"/>
        </w:rPr>
        <w:t xml:space="preserve">cela revient à tolérer </w:t>
      </w:r>
      <w:r w:rsidR="009C14C8" w:rsidRPr="002D0D60">
        <w:rPr>
          <w:lang w:val="fr-CH"/>
        </w:rPr>
        <w:t xml:space="preserve">un niveau de risque scandaleusement élevé. La nouvelle </w:t>
      </w:r>
      <w:r w:rsidR="001270D5" w:rsidRPr="002D0D60">
        <w:rPr>
          <w:lang w:val="fr-CH"/>
        </w:rPr>
        <w:t>construction juridique tolère que les événements de fréquence</w:t>
      </w:r>
      <w:r w:rsidR="00DB5E43" w:rsidRPr="002D0D60">
        <w:rPr>
          <w:lang w:val="fr-CH"/>
        </w:rPr>
        <w:t xml:space="preserve"> 10</w:t>
      </w:r>
      <w:r w:rsidR="00DB5E43" w:rsidRPr="002D0D60">
        <w:rPr>
          <w:vertAlign w:val="superscript"/>
          <w:lang w:val="fr-CH"/>
        </w:rPr>
        <w:t>-1</w:t>
      </w:r>
      <w:r w:rsidR="00DB5E43" w:rsidRPr="002D0D60">
        <w:rPr>
          <w:lang w:val="fr-CH"/>
        </w:rPr>
        <w:t xml:space="preserve">, </w:t>
      </w:r>
      <w:r w:rsidR="001270D5" w:rsidRPr="002D0D60">
        <w:rPr>
          <w:lang w:val="fr-CH"/>
        </w:rPr>
        <w:t xml:space="preserve">donc qui surviennent en moyenne tous les </w:t>
      </w:r>
      <w:r w:rsidR="00DB5E43" w:rsidRPr="002D0D60">
        <w:rPr>
          <w:lang w:val="fr-CH"/>
        </w:rPr>
        <w:t xml:space="preserve">10 </w:t>
      </w:r>
      <w:r w:rsidR="001270D5" w:rsidRPr="002D0D60">
        <w:rPr>
          <w:lang w:val="fr-CH"/>
        </w:rPr>
        <w:t xml:space="preserve">ans, entraînent une irradiation de la population </w:t>
      </w:r>
      <w:r w:rsidR="0043787D">
        <w:rPr>
          <w:lang w:val="fr-CH"/>
        </w:rPr>
        <w:t xml:space="preserve">de </w:t>
      </w:r>
      <w:r w:rsidR="005F00DD" w:rsidRPr="002D0D60">
        <w:rPr>
          <w:lang w:val="fr-CH"/>
        </w:rPr>
        <w:t>100 mSv</w:t>
      </w:r>
      <w:r w:rsidR="0043787D">
        <w:rPr>
          <w:lang w:val="fr-CH"/>
        </w:rPr>
        <w:t xml:space="preserve"> </w:t>
      </w:r>
      <w:r w:rsidR="00B03DB5">
        <w:rPr>
          <w:lang w:val="fr-CH"/>
        </w:rPr>
        <w:t>et</w:t>
      </w:r>
      <w:r w:rsidR="0043787D">
        <w:rPr>
          <w:lang w:val="fr-CH"/>
        </w:rPr>
        <w:t xml:space="preserve"> plus</w:t>
      </w:r>
      <w:r w:rsidR="00B03DB5">
        <w:rPr>
          <w:rStyle w:val="Funotenzeichen"/>
        </w:rPr>
        <w:footnoteReference w:id="17"/>
      </w:r>
      <w:r w:rsidR="001270D5" w:rsidRPr="002D0D60">
        <w:rPr>
          <w:lang w:val="fr-CH"/>
        </w:rPr>
        <w:t xml:space="preserve">. </w:t>
      </w:r>
    </w:p>
    <w:p w14:paraId="59602496" w14:textId="77777777" w:rsidR="00BB5795" w:rsidRPr="002D0D60" w:rsidRDefault="00BB5795" w:rsidP="00FA1D47">
      <w:pPr>
        <w:rPr>
          <w:lang w:val="fr-CH"/>
        </w:rPr>
      </w:pPr>
    </w:p>
    <w:p w14:paraId="5650942D" w14:textId="3AA1C68C" w:rsidR="00C43339" w:rsidRPr="002D0D60" w:rsidRDefault="00DF0BB1" w:rsidP="00C43339">
      <w:pPr>
        <w:pStyle w:val="berschrift3"/>
        <w:rPr>
          <w:lang w:val="fr-CH"/>
        </w:rPr>
      </w:pPr>
      <w:bookmarkStart w:id="15" w:name="_Ref507064634"/>
      <w:bookmarkStart w:id="16" w:name="_Toc509959553"/>
      <w:r w:rsidRPr="002D0D60">
        <w:rPr>
          <w:lang w:val="fr-CH"/>
        </w:rPr>
        <w:t xml:space="preserve">Deuxième affaiblissement : relèvement de la dose de radiation admissible </w:t>
      </w:r>
      <w:r w:rsidR="004B3665" w:rsidRPr="002D0D60">
        <w:rPr>
          <w:lang w:val="fr-CH"/>
        </w:rPr>
        <w:t xml:space="preserve">pour la population en cas d’événement survenant tous les </w:t>
      </w:r>
      <w:r w:rsidR="00B236DE" w:rsidRPr="002D0D60">
        <w:rPr>
          <w:lang w:val="fr-CH"/>
        </w:rPr>
        <w:t>10</w:t>
      </w:r>
      <w:r w:rsidR="004B3665" w:rsidRPr="002D0D60">
        <w:rPr>
          <w:lang w:val="fr-CH"/>
        </w:rPr>
        <w:t> </w:t>
      </w:r>
      <w:r w:rsidR="00B236DE" w:rsidRPr="002D0D60">
        <w:rPr>
          <w:lang w:val="fr-CH"/>
        </w:rPr>
        <w:t>000</w:t>
      </w:r>
      <w:r w:rsidR="004B3665" w:rsidRPr="002D0D60">
        <w:rPr>
          <w:lang w:val="fr-CH"/>
        </w:rPr>
        <w:t xml:space="preserve"> ans</w:t>
      </w:r>
      <w:bookmarkEnd w:id="15"/>
      <w:bookmarkEnd w:id="16"/>
    </w:p>
    <w:p w14:paraId="37ECEAE7" w14:textId="042C1A9D" w:rsidR="005D4D36" w:rsidRPr="002D0D60" w:rsidRDefault="0050220E" w:rsidP="00B236DE">
      <w:pPr>
        <w:rPr>
          <w:lang w:val="fr-CH"/>
        </w:rPr>
      </w:pPr>
      <w:r w:rsidRPr="002D0D60">
        <w:rPr>
          <w:lang w:val="fr-CH"/>
        </w:rPr>
        <w:t xml:space="preserve">La législation actuellement en vigueur </w:t>
      </w:r>
      <w:r w:rsidR="000601F7" w:rsidRPr="002D0D60">
        <w:rPr>
          <w:lang w:val="fr-CH"/>
        </w:rPr>
        <w:t>prévoit</w:t>
      </w:r>
      <w:r w:rsidR="009C44D7" w:rsidRPr="002D0D60">
        <w:rPr>
          <w:lang w:val="fr-CH"/>
        </w:rPr>
        <w:t>,</w:t>
      </w:r>
      <w:r w:rsidR="000601F7" w:rsidRPr="002D0D60">
        <w:rPr>
          <w:lang w:val="fr-CH"/>
        </w:rPr>
        <w:t xml:space="preserve"> pour une fréquence d’événement </w:t>
      </w:r>
      <w:r w:rsidR="0037375B" w:rsidRPr="002D0D60">
        <w:rPr>
          <w:lang w:val="fr-CH"/>
        </w:rPr>
        <w:t xml:space="preserve">de la catégorie </w:t>
      </w:r>
      <w:r w:rsidR="005D4D36" w:rsidRPr="002D0D60">
        <w:rPr>
          <w:lang w:val="fr-CH"/>
        </w:rPr>
        <w:t xml:space="preserve">2 </w:t>
      </w:r>
      <w:r w:rsidR="0037375B" w:rsidRPr="002D0D60">
        <w:rPr>
          <w:lang w:val="fr-CH"/>
        </w:rPr>
        <w:t xml:space="preserve">selon </w:t>
      </w:r>
      <w:r w:rsidR="009C44D7" w:rsidRPr="002D0D60">
        <w:rPr>
          <w:lang w:val="fr-CH"/>
        </w:rPr>
        <w:t>l’ORaP (située entre</w:t>
      </w:r>
      <w:r w:rsidR="008F4B7D" w:rsidRPr="002D0D60">
        <w:rPr>
          <w:lang w:val="fr-CH"/>
        </w:rPr>
        <w:t xml:space="preserve"> </w:t>
      </w:r>
      <w:r w:rsidR="005D4D36" w:rsidRPr="002D0D60">
        <w:rPr>
          <w:lang w:val="fr-CH"/>
        </w:rPr>
        <w:t>10</w:t>
      </w:r>
      <w:r w:rsidR="005D4D36" w:rsidRPr="002D0D60">
        <w:rPr>
          <w:vertAlign w:val="superscript"/>
          <w:lang w:val="fr-CH"/>
        </w:rPr>
        <w:t>-2</w:t>
      </w:r>
      <w:r w:rsidR="005D4D36" w:rsidRPr="002D0D60">
        <w:rPr>
          <w:lang w:val="fr-CH"/>
        </w:rPr>
        <w:t xml:space="preserve"> </w:t>
      </w:r>
      <w:r w:rsidR="009C44D7" w:rsidRPr="002D0D60">
        <w:rPr>
          <w:lang w:val="fr-CH"/>
        </w:rPr>
        <w:t>et</w:t>
      </w:r>
      <w:r w:rsidR="005D4D36" w:rsidRPr="002D0D60">
        <w:rPr>
          <w:lang w:val="fr-CH"/>
        </w:rPr>
        <w:t xml:space="preserve"> 10</w:t>
      </w:r>
      <w:r w:rsidR="005D4D36" w:rsidRPr="002D0D60">
        <w:rPr>
          <w:vertAlign w:val="superscript"/>
          <w:lang w:val="fr-CH"/>
        </w:rPr>
        <w:t>-4</w:t>
      </w:r>
      <w:r w:rsidR="005D4D36" w:rsidRPr="002D0D60">
        <w:rPr>
          <w:lang w:val="fr-CH"/>
        </w:rPr>
        <w:t xml:space="preserve"> </w:t>
      </w:r>
      <w:r w:rsidR="009C44D7" w:rsidRPr="002D0D60">
        <w:rPr>
          <w:lang w:val="fr-CH"/>
        </w:rPr>
        <w:t xml:space="preserve">par année), une dose de </w:t>
      </w:r>
      <w:r w:rsidR="005D4D36" w:rsidRPr="002D0D60">
        <w:rPr>
          <w:lang w:val="fr-CH"/>
        </w:rPr>
        <w:t xml:space="preserve">1 mSv </w:t>
      </w:r>
      <w:r w:rsidR="009C44D7" w:rsidRPr="002D0D60">
        <w:rPr>
          <w:lang w:val="fr-CH"/>
        </w:rPr>
        <w:t xml:space="preserve">comme critère de mise hors service. </w:t>
      </w:r>
      <w:r w:rsidR="006A727A">
        <w:rPr>
          <w:lang w:val="fr-CH"/>
        </w:rPr>
        <w:t>Étant donné l’obligation</w:t>
      </w:r>
      <w:r w:rsidR="009C44D7" w:rsidRPr="002D0D60">
        <w:rPr>
          <w:lang w:val="fr-CH"/>
        </w:rPr>
        <w:t xml:space="preserve"> de garantir une protection enveloppante (voir ci-dessus)</w:t>
      </w:r>
      <w:r w:rsidR="003C36BB" w:rsidRPr="002D0D60">
        <w:rPr>
          <w:lang w:val="fr-CH"/>
        </w:rPr>
        <w:t>,</w:t>
      </w:r>
      <w:r w:rsidR="009C44D7" w:rsidRPr="002D0D60">
        <w:rPr>
          <w:lang w:val="fr-CH"/>
        </w:rPr>
        <w:t xml:space="preserve"> en lien avec l’a</w:t>
      </w:r>
      <w:r w:rsidR="005D4D36" w:rsidRPr="002D0D60">
        <w:rPr>
          <w:lang w:val="fr-CH"/>
        </w:rPr>
        <w:t xml:space="preserve">rt. 5 </w:t>
      </w:r>
      <w:r w:rsidR="009C44D7" w:rsidRPr="002D0D60">
        <w:rPr>
          <w:lang w:val="fr-CH"/>
        </w:rPr>
        <w:t>al</w:t>
      </w:r>
      <w:r w:rsidR="005D4D36" w:rsidRPr="002D0D60">
        <w:rPr>
          <w:lang w:val="fr-CH"/>
        </w:rPr>
        <w:t xml:space="preserve">. 4 </w:t>
      </w:r>
      <w:r w:rsidR="009C44D7" w:rsidRPr="002D0D60">
        <w:rPr>
          <w:lang w:val="fr-CH"/>
        </w:rPr>
        <w:t>de l’</w:t>
      </w:r>
      <w:r w:rsidR="003C36BB" w:rsidRPr="002D0D60">
        <w:rPr>
          <w:lang w:val="fr-CH"/>
        </w:rPr>
        <w:t>ordonnance sur les hypothèses de risque</w:t>
      </w:r>
      <w:r w:rsidR="00A1727A" w:rsidRPr="002D0D60">
        <w:rPr>
          <w:lang w:val="fr-CH"/>
        </w:rPr>
        <w:t xml:space="preserve">, qui demande un examen des risques dont la fréquence est </w:t>
      </w:r>
      <w:r w:rsidR="00A1727A" w:rsidRPr="002D0D60">
        <w:rPr>
          <w:i/>
          <w:lang w:val="fr-CH"/>
        </w:rPr>
        <w:t>supérieure ou égale</w:t>
      </w:r>
      <w:r w:rsidR="006A727A">
        <w:rPr>
          <w:i/>
          <w:lang w:val="fr-CH"/>
        </w:rPr>
        <w:t xml:space="preserve"> à</w:t>
      </w:r>
      <w:r w:rsidR="00A1727A" w:rsidRPr="002D0D60">
        <w:rPr>
          <w:lang w:val="fr-CH"/>
        </w:rPr>
        <w:t xml:space="preserve"> </w:t>
      </w:r>
      <w:r w:rsidR="005D4D36" w:rsidRPr="002D0D60">
        <w:rPr>
          <w:lang w:val="fr-CH"/>
        </w:rPr>
        <w:t>10</w:t>
      </w:r>
      <w:r w:rsidR="005D4D36" w:rsidRPr="002D0D60">
        <w:rPr>
          <w:vertAlign w:val="superscript"/>
          <w:lang w:val="fr-CH"/>
        </w:rPr>
        <w:t>-4</w:t>
      </w:r>
      <w:r w:rsidR="005D4D36" w:rsidRPr="002D0D60">
        <w:rPr>
          <w:lang w:val="fr-CH"/>
        </w:rPr>
        <w:t xml:space="preserve"> </w:t>
      </w:r>
      <w:r w:rsidR="00A1727A" w:rsidRPr="002D0D60">
        <w:rPr>
          <w:lang w:val="fr-CH"/>
        </w:rPr>
        <w:t>par année, cette valeur de</w:t>
      </w:r>
      <w:r w:rsidR="008F4B7D" w:rsidRPr="002D0D60">
        <w:rPr>
          <w:lang w:val="fr-CH"/>
        </w:rPr>
        <w:softHyphen/>
      </w:r>
      <w:r w:rsidR="005D4D36" w:rsidRPr="002D0D60">
        <w:rPr>
          <w:lang w:val="fr-CH"/>
        </w:rPr>
        <w:t xml:space="preserve"> 10</w:t>
      </w:r>
      <w:r w:rsidR="008F4B7D" w:rsidRPr="002D0D60">
        <w:rPr>
          <w:vertAlign w:val="superscript"/>
          <w:lang w:val="fr-CH"/>
        </w:rPr>
        <w:t>-</w:t>
      </w:r>
      <w:r w:rsidR="005D4D36" w:rsidRPr="002D0D60">
        <w:rPr>
          <w:vertAlign w:val="superscript"/>
          <w:lang w:val="fr-CH"/>
        </w:rPr>
        <w:t>4</w:t>
      </w:r>
      <w:r w:rsidR="005D4D36" w:rsidRPr="002D0D60">
        <w:rPr>
          <w:lang w:val="fr-CH"/>
        </w:rPr>
        <w:t xml:space="preserve"> </w:t>
      </w:r>
      <w:r w:rsidR="00194524">
        <w:rPr>
          <w:lang w:val="fr-CH"/>
        </w:rPr>
        <w:t>tombe</w:t>
      </w:r>
      <w:r w:rsidR="00A1727A" w:rsidRPr="002D0D60">
        <w:rPr>
          <w:lang w:val="fr-CH"/>
        </w:rPr>
        <w:t xml:space="preserve"> clairement </w:t>
      </w:r>
      <w:r w:rsidR="00194524">
        <w:rPr>
          <w:lang w:val="fr-CH"/>
        </w:rPr>
        <w:t>dans</w:t>
      </w:r>
      <w:r w:rsidR="00A1727A" w:rsidRPr="002D0D60">
        <w:rPr>
          <w:lang w:val="fr-CH"/>
        </w:rPr>
        <w:t xml:space="preserve"> la catégorie en question</w:t>
      </w:r>
      <w:r w:rsidR="005D4D36" w:rsidRPr="002D0D60">
        <w:rPr>
          <w:lang w:val="fr-CH"/>
        </w:rPr>
        <w:t>.</w:t>
      </w:r>
    </w:p>
    <w:p w14:paraId="6FC0AEAC" w14:textId="77777777" w:rsidR="005D4D36" w:rsidRPr="002D0D60" w:rsidRDefault="005D4D36" w:rsidP="00B236DE">
      <w:pPr>
        <w:rPr>
          <w:lang w:val="fr-CH"/>
        </w:rPr>
      </w:pPr>
    </w:p>
    <w:p w14:paraId="4EB5B74A" w14:textId="6DE83EE4" w:rsidR="00FA1D47" w:rsidRPr="002D0D60" w:rsidRDefault="0097593E" w:rsidP="00FA1D47">
      <w:pPr>
        <w:rPr>
          <w:lang w:val="fr-CH"/>
        </w:rPr>
      </w:pPr>
      <w:r w:rsidRPr="002D0D60">
        <w:rPr>
          <w:lang w:val="fr-CH"/>
        </w:rPr>
        <w:t>Avec la</w:t>
      </w:r>
      <w:r w:rsidR="00A1727A" w:rsidRPr="002D0D60">
        <w:rPr>
          <w:lang w:val="fr-CH"/>
        </w:rPr>
        <w:t xml:space="preserve"> révision prévue </w:t>
      </w:r>
      <w:r w:rsidR="005D4D36" w:rsidRPr="002D0D60">
        <w:rPr>
          <w:lang w:val="fr-CH"/>
        </w:rPr>
        <w:t>(</w:t>
      </w:r>
      <w:r w:rsidR="00A1727A" w:rsidRPr="002D0D60">
        <w:rPr>
          <w:lang w:val="fr-CH"/>
        </w:rPr>
        <w:t>art. 8 al</w:t>
      </w:r>
      <w:r w:rsidR="00EE7523" w:rsidRPr="002D0D60">
        <w:rPr>
          <w:lang w:val="fr-CH"/>
        </w:rPr>
        <w:t xml:space="preserve"> 4bis</w:t>
      </w:r>
      <w:r w:rsidR="004C5865" w:rsidRPr="002D0D60">
        <w:rPr>
          <w:lang w:val="fr-CH"/>
        </w:rPr>
        <w:t xml:space="preserve"> </w:t>
      </w:r>
      <w:r w:rsidRPr="002D0D60">
        <w:rPr>
          <w:lang w:val="fr-CH"/>
        </w:rPr>
        <w:t>OENu</w:t>
      </w:r>
      <w:r w:rsidR="00EE7523" w:rsidRPr="002D0D60">
        <w:rPr>
          <w:lang w:val="fr-CH"/>
        </w:rPr>
        <w:t>)</w:t>
      </w:r>
      <w:r w:rsidRPr="002D0D60">
        <w:rPr>
          <w:lang w:val="fr-CH"/>
        </w:rPr>
        <w:t>, la valeur limite pour une mise hors service concernant la fréquence d’événements de</w:t>
      </w:r>
      <w:r w:rsidR="00EE7523" w:rsidRPr="002D0D60">
        <w:rPr>
          <w:lang w:val="fr-CH"/>
        </w:rPr>
        <w:t xml:space="preserve"> 10</w:t>
      </w:r>
      <w:r w:rsidR="00EE7523" w:rsidRPr="002D0D60">
        <w:rPr>
          <w:vertAlign w:val="superscript"/>
          <w:lang w:val="fr-CH"/>
        </w:rPr>
        <w:t>-4</w:t>
      </w:r>
      <w:r w:rsidR="00EE7523" w:rsidRPr="002D0D60">
        <w:rPr>
          <w:lang w:val="fr-CH"/>
        </w:rPr>
        <w:t xml:space="preserve"> </w:t>
      </w:r>
      <w:r w:rsidRPr="002D0D60">
        <w:rPr>
          <w:lang w:val="fr-CH"/>
        </w:rPr>
        <w:t xml:space="preserve">par année est relevée à </w:t>
      </w:r>
      <w:r w:rsidR="00EE7523" w:rsidRPr="002D0D60">
        <w:rPr>
          <w:lang w:val="fr-CH"/>
        </w:rPr>
        <w:t>100 mSv</w:t>
      </w:r>
      <w:r w:rsidRPr="002D0D60">
        <w:rPr>
          <w:lang w:val="fr-CH"/>
        </w:rPr>
        <w:t xml:space="preserve">. </w:t>
      </w:r>
      <w:r w:rsidR="00A00BF5" w:rsidRPr="002D0D60">
        <w:rPr>
          <w:lang w:val="fr-CH"/>
        </w:rPr>
        <w:t xml:space="preserve">La révision conserve </w:t>
      </w:r>
      <w:r w:rsidR="00487CC6" w:rsidRPr="002D0D60">
        <w:rPr>
          <w:lang w:val="fr-CH"/>
        </w:rPr>
        <w:t>certes</w:t>
      </w:r>
      <w:r w:rsidR="00A00BF5" w:rsidRPr="002D0D60">
        <w:rPr>
          <w:lang w:val="fr-CH"/>
        </w:rPr>
        <w:t xml:space="preserve"> un</w:t>
      </w:r>
      <w:r w:rsidRPr="002D0D60">
        <w:rPr>
          <w:lang w:val="fr-CH"/>
        </w:rPr>
        <w:t xml:space="preserve"> critère de mise hors service pour cette fréquence d’événements </w:t>
      </w:r>
      <w:r w:rsidR="004C5865" w:rsidRPr="002D0D60">
        <w:rPr>
          <w:lang w:val="fr-CH"/>
        </w:rPr>
        <w:t>(</w:t>
      </w:r>
      <w:r w:rsidRPr="002D0D60">
        <w:rPr>
          <w:lang w:val="fr-CH"/>
        </w:rPr>
        <w:t>art. 44 al</w:t>
      </w:r>
      <w:r w:rsidR="004C5865" w:rsidRPr="002D0D60">
        <w:rPr>
          <w:lang w:val="fr-CH"/>
        </w:rPr>
        <w:t xml:space="preserve">. 1 </w:t>
      </w:r>
      <w:r w:rsidRPr="002D0D60">
        <w:rPr>
          <w:lang w:val="fr-CH"/>
        </w:rPr>
        <w:t>let</w:t>
      </w:r>
      <w:r w:rsidR="004C5865" w:rsidRPr="002D0D60">
        <w:rPr>
          <w:lang w:val="fr-CH"/>
        </w:rPr>
        <w:t xml:space="preserve">. a </w:t>
      </w:r>
      <w:r w:rsidR="00A00BF5" w:rsidRPr="002D0D60">
        <w:rPr>
          <w:lang w:val="fr-CH"/>
        </w:rPr>
        <w:t>OENu</w:t>
      </w:r>
      <w:r w:rsidR="004C5865" w:rsidRPr="002D0D60">
        <w:rPr>
          <w:lang w:val="fr-CH"/>
        </w:rPr>
        <w:t>)</w:t>
      </w:r>
      <w:r w:rsidR="00A00BF5" w:rsidRPr="002D0D60">
        <w:rPr>
          <w:lang w:val="fr-CH"/>
        </w:rPr>
        <w:t xml:space="preserve"> ; mais le passage de </w:t>
      </w:r>
      <w:r w:rsidR="004C5865" w:rsidRPr="002D0D60">
        <w:rPr>
          <w:lang w:val="fr-CH"/>
        </w:rPr>
        <w:t xml:space="preserve">1 mSv </w:t>
      </w:r>
      <w:r w:rsidR="00355934" w:rsidRPr="002D0D60">
        <w:rPr>
          <w:lang w:val="fr-CH"/>
        </w:rPr>
        <w:t>à</w:t>
      </w:r>
      <w:r w:rsidR="004C5865" w:rsidRPr="002D0D60">
        <w:rPr>
          <w:lang w:val="fr-CH"/>
        </w:rPr>
        <w:t xml:space="preserve"> 100 mSv </w:t>
      </w:r>
      <w:r w:rsidR="00355934" w:rsidRPr="002D0D60">
        <w:rPr>
          <w:lang w:val="fr-CH"/>
        </w:rPr>
        <w:t xml:space="preserve">signifie rien de moins qu’une </w:t>
      </w:r>
      <w:r w:rsidR="009C0048">
        <w:rPr>
          <w:lang w:val="fr-CH"/>
        </w:rPr>
        <w:t xml:space="preserve">multiplication par </w:t>
      </w:r>
      <w:r w:rsidR="004C5865" w:rsidRPr="002D0D60">
        <w:rPr>
          <w:lang w:val="fr-CH"/>
        </w:rPr>
        <w:t>100</w:t>
      </w:r>
      <w:r w:rsidR="00355934" w:rsidRPr="002D0D60">
        <w:rPr>
          <w:lang w:val="fr-CH"/>
        </w:rPr>
        <w:t xml:space="preserve"> du risque radiologique auquel est soumise la population. Cette augmentation </w:t>
      </w:r>
      <w:r w:rsidR="00333B1E" w:rsidRPr="002D0D60">
        <w:rPr>
          <w:lang w:val="fr-CH"/>
        </w:rPr>
        <w:t xml:space="preserve">ne </w:t>
      </w:r>
      <w:r w:rsidR="00AB343A">
        <w:rPr>
          <w:lang w:val="fr-CH"/>
        </w:rPr>
        <w:t>se justifie</w:t>
      </w:r>
      <w:r w:rsidR="00333B1E" w:rsidRPr="002D0D60">
        <w:rPr>
          <w:lang w:val="fr-CH"/>
        </w:rPr>
        <w:t xml:space="preserve"> en aucune manière</w:t>
      </w:r>
      <w:r w:rsidR="00615976" w:rsidRPr="002D0D60">
        <w:rPr>
          <w:rStyle w:val="Funotenzeichen"/>
          <w:lang w:val="fr-CH"/>
        </w:rPr>
        <w:footnoteReference w:id="18"/>
      </w:r>
      <w:r w:rsidR="00E4300D" w:rsidRPr="002D0D60">
        <w:rPr>
          <w:lang w:val="fr-CH"/>
        </w:rPr>
        <w:t>.</w:t>
      </w:r>
    </w:p>
    <w:p w14:paraId="33D0F7C1" w14:textId="168500CD" w:rsidR="00C43339" w:rsidRPr="002D0D60" w:rsidRDefault="00DC0C72" w:rsidP="00C43339">
      <w:pPr>
        <w:pStyle w:val="berschrift3"/>
        <w:rPr>
          <w:lang w:val="fr-CH"/>
        </w:rPr>
      </w:pPr>
      <w:bookmarkStart w:id="17" w:name="_Ref507064661"/>
      <w:bookmarkStart w:id="18" w:name="_Toc509959554"/>
      <w:r w:rsidRPr="002D0D60">
        <w:rPr>
          <w:lang w:val="fr-CH"/>
        </w:rPr>
        <w:t>Troisième affaiblissement : suppression de l’examen d’événements naturels très rares</w:t>
      </w:r>
      <w:bookmarkEnd w:id="17"/>
      <w:bookmarkEnd w:id="18"/>
    </w:p>
    <w:p w14:paraId="77FFB8A4" w14:textId="6ECFCBDB" w:rsidR="005D236A" w:rsidRPr="002D0D60" w:rsidRDefault="00DC0C72" w:rsidP="005D236A">
      <w:pPr>
        <w:rPr>
          <w:lang w:val="fr-CH"/>
        </w:rPr>
      </w:pPr>
      <w:r w:rsidRPr="002D0D60">
        <w:rPr>
          <w:lang w:val="fr-CH"/>
        </w:rPr>
        <w:t>Sous la législation actuelle, l’exploitant a l’obligation d’examiner y compris les conséquences des événements très rares (d’une fréquence située entre 10</w:t>
      </w:r>
      <w:r w:rsidRPr="002D0D60">
        <w:rPr>
          <w:vertAlign w:val="superscript"/>
          <w:lang w:val="fr-CH"/>
        </w:rPr>
        <w:t>-4</w:t>
      </w:r>
      <w:r w:rsidRPr="002D0D60">
        <w:rPr>
          <w:lang w:val="fr-CH"/>
        </w:rPr>
        <w:t xml:space="preserve"> et 10</w:t>
      </w:r>
      <w:r w:rsidRPr="002D0D60">
        <w:rPr>
          <w:vertAlign w:val="superscript"/>
          <w:lang w:val="fr-CH"/>
        </w:rPr>
        <w:t>-6</w:t>
      </w:r>
      <w:r w:rsidRPr="002D0D60">
        <w:rPr>
          <w:lang w:val="fr-CH"/>
        </w:rPr>
        <w:t>) dans le cadre de son analyse des défaillances. La révi</w:t>
      </w:r>
      <w:r w:rsidRPr="002D0D60">
        <w:rPr>
          <w:lang w:val="fr-CH"/>
        </w:rPr>
        <w:lastRenderedPageBreak/>
        <w:t>sion supprime totalement cette obligati</w:t>
      </w:r>
      <w:r w:rsidR="00203FC2" w:rsidRPr="002D0D60">
        <w:rPr>
          <w:lang w:val="fr-CH"/>
        </w:rPr>
        <w:t xml:space="preserve">on pour les événements naturels ; il n’y a plus d’obligation d’examiner les risques liés à des événements naturels d’une fréquence inférieure à </w:t>
      </w:r>
      <w:r w:rsidR="005D236A" w:rsidRPr="002D0D60">
        <w:rPr>
          <w:lang w:val="fr-CH"/>
        </w:rPr>
        <w:t>10</w:t>
      </w:r>
      <w:r w:rsidR="005D236A" w:rsidRPr="002D0D60">
        <w:rPr>
          <w:vertAlign w:val="superscript"/>
          <w:lang w:val="fr-CH"/>
        </w:rPr>
        <w:t>-4</w:t>
      </w:r>
      <w:r w:rsidR="00203FC2" w:rsidRPr="002D0D60">
        <w:rPr>
          <w:lang w:val="fr-CH"/>
        </w:rPr>
        <w:t>. Dans ce domaine, le critère de mise hors service est donc également supprimé</w:t>
      </w:r>
      <w:r w:rsidR="0011533A" w:rsidRPr="002D0D60">
        <w:rPr>
          <w:lang w:val="fr-CH"/>
        </w:rPr>
        <w:t>.</w:t>
      </w:r>
    </w:p>
    <w:p w14:paraId="215780BF" w14:textId="2BE157F3" w:rsidR="00E72FF3" w:rsidRPr="002D0D60" w:rsidRDefault="00463600" w:rsidP="00E72FF3">
      <w:pPr>
        <w:pStyle w:val="berschrift3"/>
        <w:rPr>
          <w:lang w:val="fr-CH"/>
        </w:rPr>
      </w:pPr>
      <w:bookmarkStart w:id="19" w:name="_Ref507064685"/>
      <w:bookmarkStart w:id="20" w:name="_Toc509959555"/>
      <w:r w:rsidRPr="002D0D60">
        <w:rPr>
          <w:lang w:val="fr-CH"/>
        </w:rPr>
        <w:t xml:space="preserve">Quatrième affaiblissement : </w:t>
      </w:r>
      <w:r w:rsidR="002542BC">
        <w:rPr>
          <w:lang w:val="fr-CH"/>
        </w:rPr>
        <w:t>limitation</w:t>
      </w:r>
      <w:r w:rsidRPr="002D0D60">
        <w:rPr>
          <w:lang w:val="fr-CH"/>
        </w:rPr>
        <w:t xml:space="preserve"> des critères de mise hors service au refroidissement du cœur</w:t>
      </w:r>
      <w:bookmarkEnd w:id="19"/>
      <w:bookmarkEnd w:id="20"/>
    </w:p>
    <w:p w14:paraId="26C8C850" w14:textId="5FEF114E" w:rsidR="00E72FF3" w:rsidRPr="002D0D60" w:rsidRDefault="00990772" w:rsidP="00E72FF3">
      <w:pPr>
        <w:rPr>
          <w:lang w:val="fr-CH"/>
        </w:rPr>
      </w:pPr>
      <w:r w:rsidRPr="002D0D60">
        <w:rPr>
          <w:lang w:val="fr-CH"/>
        </w:rPr>
        <w:t>La législation actuelle</w:t>
      </w:r>
      <w:r w:rsidR="004D6D1E" w:rsidRPr="002D0D60">
        <w:rPr>
          <w:lang w:val="fr-CH"/>
        </w:rPr>
        <w:t xml:space="preserve"> prévoit des critères de mise hors service qui sont définis en fonction de la dose de radiation </w:t>
      </w:r>
      <w:r w:rsidR="00FF6906" w:rsidRPr="002D0D60">
        <w:rPr>
          <w:lang w:val="fr-CH"/>
        </w:rPr>
        <w:t>probable à laquelle la population est exposée en cas d’accident. La cause du dégagement de radioactivité joue un rôle secondaire, et peut se rapporter à l’ensemble des trois critères de mise hors services de l</w:t>
      </w:r>
      <w:r w:rsidR="00C27155" w:rsidRPr="002D0D60">
        <w:rPr>
          <w:lang w:val="fr-CH"/>
        </w:rPr>
        <w:t>’OENu (a</w:t>
      </w:r>
      <w:r w:rsidR="003A27CD" w:rsidRPr="002D0D60">
        <w:rPr>
          <w:lang w:val="fr-CH"/>
        </w:rPr>
        <w:t>rt. 44)</w:t>
      </w:r>
      <w:r w:rsidR="00C27155" w:rsidRPr="002D0D60">
        <w:rPr>
          <w:lang w:val="fr-CH"/>
        </w:rPr>
        <w:t> :</w:t>
      </w:r>
      <w:r w:rsidR="00E72FF3" w:rsidRPr="002D0D60">
        <w:rPr>
          <w:lang w:val="fr-CH"/>
        </w:rPr>
        <w:t xml:space="preserve"> </w:t>
      </w:r>
    </w:p>
    <w:p w14:paraId="32557C77" w14:textId="77777777" w:rsidR="0011533A" w:rsidRPr="002D0D60" w:rsidRDefault="0011533A" w:rsidP="00E72FF3">
      <w:pPr>
        <w:rPr>
          <w:lang w:val="fr-CH"/>
        </w:rPr>
      </w:pPr>
    </w:p>
    <w:p w14:paraId="7FB97A7A" w14:textId="6DDC32E6" w:rsidR="00E72FF3" w:rsidRPr="002D0D60" w:rsidRDefault="000A7C4C" w:rsidP="00E72FF3">
      <w:pPr>
        <w:pStyle w:val="Listenabsatz"/>
        <w:numPr>
          <w:ilvl w:val="0"/>
          <w:numId w:val="16"/>
        </w:numPr>
        <w:rPr>
          <w:lang w:val="fr-CH"/>
        </w:rPr>
      </w:pPr>
      <w:r w:rsidRPr="002D0D60">
        <w:rPr>
          <w:lang w:val="fr-CH"/>
        </w:rPr>
        <w:t>Défaillance du refroidissement du cœur</w:t>
      </w:r>
    </w:p>
    <w:p w14:paraId="099C9D39" w14:textId="14B258E4" w:rsidR="00E72FF3" w:rsidRPr="002D0D60" w:rsidRDefault="000A7C4C" w:rsidP="00E72FF3">
      <w:pPr>
        <w:pStyle w:val="Listenabsatz"/>
        <w:numPr>
          <w:ilvl w:val="0"/>
          <w:numId w:val="16"/>
        </w:numPr>
        <w:rPr>
          <w:lang w:val="fr-CH"/>
        </w:rPr>
      </w:pPr>
      <w:r w:rsidRPr="002D0D60">
        <w:rPr>
          <w:lang w:val="fr-CH"/>
        </w:rPr>
        <w:t>Défaillance de l’intégrité du circuit primaire</w:t>
      </w:r>
    </w:p>
    <w:p w14:paraId="584853C5" w14:textId="10CD14BC" w:rsidR="00E72FF3" w:rsidRPr="002D0D60" w:rsidRDefault="000467F4" w:rsidP="00E72FF3">
      <w:pPr>
        <w:pStyle w:val="Listenabsatz"/>
        <w:numPr>
          <w:ilvl w:val="0"/>
          <w:numId w:val="16"/>
        </w:numPr>
        <w:rPr>
          <w:lang w:val="fr-CH"/>
        </w:rPr>
      </w:pPr>
      <w:r w:rsidRPr="002D0D60">
        <w:rPr>
          <w:lang w:val="fr-CH"/>
        </w:rPr>
        <w:t>Défaillance de l’intégrité du confinement</w:t>
      </w:r>
    </w:p>
    <w:p w14:paraId="69C29204" w14:textId="77777777" w:rsidR="00E72FF3" w:rsidRPr="002D0D60" w:rsidRDefault="00E72FF3" w:rsidP="00E72FF3">
      <w:pPr>
        <w:rPr>
          <w:lang w:val="fr-CH"/>
        </w:rPr>
      </w:pPr>
    </w:p>
    <w:p w14:paraId="06E7AB10" w14:textId="6CCCB10F" w:rsidR="00E72FF3" w:rsidRPr="002D0D60" w:rsidRDefault="000467F4" w:rsidP="00E72FF3">
      <w:pPr>
        <w:rPr>
          <w:lang w:val="fr-CH"/>
        </w:rPr>
      </w:pPr>
      <w:r w:rsidRPr="002D0D60">
        <w:rPr>
          <w:lang w:val="fr-CH"/>
        </w:rPr>
        <w:t>La législation actuelle est donc formulée du point de vue de la protection de la population, et limite</w:t>
      </w:r>
      <w:r w:rsidR="00166923">
        <w:rPr>
          <w:lang w:val="fr-CH"/>
        </w:rPr>
        <w:t xml:space="preserve"> la dose de radiation et </w:t>
      </w:r>
      <w:r w:rsidR="001172AF">
        <w:rPr>
          <w:lang w:val="fr-CH"/>
        </w:rPr>
        <w:t>ainsi</w:t>
      </w:r>
      <w:r w:rsidR="00166923">
        <w:rPr>
          <w:lang w:val="fr-CH"/>
        </w:rPr>
        <w:t xml:space="preserve"> le</w:t>
      </w:r>
      <w:r w:rsidRPr="002D0D60">
        <w:rPr>
          <w:lang w:val="fr-CH"/>
        </w:rPr>
        <w:t xml:space="preserve"> risque auquel sont exposés les êtres humains. Les causes techniques du dégagement de </w:t>
      </w:r>
      <w:r w:rsidR="001F5205" w:rsidRPr="002D0D60">
        <w:rPr>
          <w:lang w:val="fr-CH"/>
        </w:rPr>
        <w:t>radioactivité</w:t>
      </w:r>
      <w:r w:rsidR="001E09AD">
        <w:rPr>
          <w:lang w:val="fr-CH"/>
        </w:rPr>
        <w:t xml:space="preserve"> – provient-elle du circuit primaire ? d’autres composantes ? – ne sont pas primordiales</w:t>
      </w:r>
      <w:r w:rsidR="009632BC" w:rsidRPr="002D0D60">
        <w:rPr>
          <w:lang w:val="fr-CH"/>
        </w:rPr>
        <w:t>. La révision p</w:t>
      </w:r>
      <w:r w:rsidR="00FF07B6" w:rsidRPr="002D0D60">
        <w:rPr>
          <w:lang w:val="fr-CH"/>
        </w:rPr>
        <w:t xml:space="preserve">révue </w:t>
      </w:r>
      <w:r w:rsidR="00AD4CBE" w:rsidRPr="002D0D60">
        <w:rPr>
          <w:lang w:val="fr-CH"/>
        </w:rPr>
        <w:t>marque une rupture</w:t>
      </w:r>
      <w:r w:rsidR="00FF07B6" w:rsidRPr="002D0D60">
        <w:rPr>
          <w:lang w:val="fr-CH"/>
        </w:rPr>
        <w:t xml:space="preserve"> avec cette approche, en fondant le critère de mise hors service sur une seule cause technique, à savoir la </w:t>
      </w:r>
      <w:r w:rsidR="00441BEB" w:rsidRPr="002D0D60">
        <w:rPr>
          <w:i/>
          <w:lang w:val="fr-CH"/>
        </w:rPr>
        <w:t xml:space="preserve">défaillance du refroidissement du cœur du réacteur </w:t>
      </w:r>
      <w:r w:rsidR="00E72FF3" w:rsidRPr="002D0D60">
        <w:rPr>
          <w:lang w:val="fr-CH"/>
        </w:rPr>
        <w:t>(</w:t>
      </w:r>
      <w:r w:rsidR="00441BEB" w:rsidRPr="002D0D60">
        <w:rPr>
          <w:lang w:val="fr-CH"/>
        </w:rPr>
        <w:t>voir la formulation de l’a</w:t>
      </w:r>
      <w:r w:rsidR="00E72FF3" w:rsidRPr="002D0D60">
        <w:rPr>
          <w:lang w:val="fr-CH"/>
        </w:rPr>
        <w:t xml:space="preserve">rt. 44 </w:t>
      </w:r>
      <w:r w:rsidR="00441BEB" w:rsidRPr="002D0D60">
        <w:rPr>
          <w:lang w:val="fr-CH"/>
        </w:rPr>
        <w:t>al</w:t>
      </w:r>
      <w:r w:rsidR="00E72FF3" w:rsidRPr="002D0D60">
        <w:rPr>
          <w:lang w:val="fr-CH"/>
        </w:rPr>
        <w:t xml:space="preserve">. 1 </w:t>
      </w:r>
      <w:r w:rsidR="00441BEB" w:rsidRPr="002D0D60">
        <w:rPr>
          <w:lang w:val="fr-CH"/>
        </w:rPr>
        <w:t>let</w:t>
      </w:r>
      <w:r w:rsidR="00E72FF3" w:rsidRPr="002D0D60">
        <w:rPr>
          <w:lang w:val="fr-CH"/>
        </w:rPr>
        <w:t xml:space="preserve"> a.</w:t>
      </w:r>
      <w:r w:rsidR="0011533A" w:rsidRPr="002D0D60">
        <w:rPr>
          <w:lang w:val="fr-CH"/>
        </w:rPr>
        <w:t xml:space="preserve">, </w:t>
      </w:r>
      <w:r w:rsidR="00BF3784" w:rsidRPr="002D0D60">
        <w:rPr>
          <w:lang w:val="fr-CH"/>
        </w:rPr>
        <w:t xml:space="preserve">en particulier </w:t>
      </w:r>
      <w:r w:rsidR="00BF3784" w:rsidRPr="002D0D60">
        <w:rPr>
          <w:i/>
          <w:lang w:val="fr-CH"/>
        </w:rPr>
        <w:t>« par conséquent »</w:t>
      </w:r>
      <w:r w:rsidR="00E72FF3" w:rsidRPr="002D0D60">
        <w:rPr>
          <w:lang w:val="fr-CH"/>
        </w:rPr>
        <w:t>)</w:t>
      </w:r>
      <w:r w:rsidR="00716A97" w:rsidRPr="002D0D60">
        <w:rPr>
          <w:lang w:val="fr-CH"/>
        </w:rPr>
        <w:t>.</w:t>
      </w:r>
    </w:p>
    <w:p w14:paraId="009A47CD" w14:textId="77777777" w:rsidR="00E72FF3" w:rsidRPr="002D0D60" w:rsidRDefault="00E72FF3" w:rsidP="00E72FF3">
      <w:pPr>
        <w:rPr>
          <w:lang w:val="fr-CH"/>
        </w:rPr>
      </w:pPr>
    </w:p>
    <w:p w14:paraId="39C145C9" w14:textId="0E999273" w:rsidR="00E72FF3" w:rsidRPr="002D0D60" w:rsidRDefault="008E04E0" w:rsidP="00E72FF3">
      <w:pPr>
        <w:rPr>
          <w:lang w:val="fr-CH"/>
        </w:rPr>
      </w:pPr>
      <w:r w:rsidRPr="002D0D60">
        <w:rPr>
          <w:lang w:val="fr-CH"/>
        </w:rPr>
        <w:t>Cette modification entraîne un nouvel affaiblissement drastique des critères de mise hors service, et une régression significative par rapport à une philosophie de la sécurité axée sur les objectifs de protection :</w:t>
      </w:r>
    </w:p>
    <w:p w14:paraId="0F28C511" w14:textId="77777777" w:rsidR="0011533A" w:rsidRPr="002D0D60" w:rsidRDefault="0011533A" w:rsidP="00E72FF3">
      <w:pPr>
        <w:rPr>
          <w:lang w:val="fr-CH"/>
        </w:rPr>
      </w:pPr>
    </w:p>
    <w:p w14:paraId="469F0058" w14:textId="1C68F186" w:rsidR="00E72FF3" w:rsidRPr="002D0D60" w:rsidRDefault="0051145E" w:rsidP="00C43339">
      <w:pPr>
        <w:pStyle w:val="Listenabsatz"/>
        <w:numPr>
          <w:ilvl w:val="0"/>
          <w:numId w:val="21"/>
        </w:numPr>
        <w:rPr>
          <w:lang w:val="fr-CH"/>
        </w:rPr>
      </w:pPr>
      <w:r w:rsidRPr="002D0D60">
        <w:rPr>
          <w:lang w:val="fr-CH"/>
        </w:rPr>
        <w:t>Avec la révision proposée, l</w:t>
      </w:r>
      <w:r w:rsidR="0019067F" w:rsidRPr="002D0D60">
        <w:rPr>
          <w:lang w:val="fr-CH"/>
        </w:rPr>
        <w:t>’élément déterminant n’est plus l</w:t>
      </w:r>
      <w:r w:rsidRPr="002D0D60">
        <w:rPr>
          <w:lang w:val="fr-CH"/>
        </w:rPr>
        <w:t xml:space="preserve">e risque pour la population, mais la cause du dégagement de </w:t>
      </w:r>
      <w:r w:rsidR="0019067F" w:rsidRPr="002D0D60">
        <w:rPr>
          <w:lang w:val="fr-CH"/>
        </w:rPr>
        <w:t>radioactivité. Un événement pourrait donner lieu à une irradiation considérable de la population, même au-delà de la limite de 100 mSv</w:t>
      </w:r>
      <w:r w:rsidR="00FC566D" w:rsidRPr="002D0D60">
        <w:rPr>
          <w:lang w:val="fr-CH"/>
        </w:rPr>
        <w:t xml:space="preserve">, qui </w:t>
      </w:r>
      <w:r w:rsidR="00560EBB">
        <w:rPr>
          <w:lang w:val="fr-CH"/>
        </w:rPr>
        <w:t>sera</w:t>
      </w:r>
      <w:r w:rsidR="00FC566D" w:rsidRPr="002D0D60">
        <w:rPr>
          <w:lang w:val="fr-CH"/>
        </w:rPr>
        <w:t xml:space="preserve"> le seul critère de mise hors service, pour autant que cette dose </w:t>
      </w:r>
      <w:r w:rsidR="00560EBB">
        <w:rPr>
          <w:lang w:val="fr-CH"/>
        </w:rPr>
        <w:t>ne soit pas</w:t>
      </w:r>
      <w:r w:rsidR="00FC566D" w:rsidRPr="002D0D60">
        <w:rPr>
          <w:lang w:val="fr-CH"/>
        </w:rPr>
        <w:t xml:space="preserve"> due à une défaillance </w:t>
      </w:r>
      <w:r w:rsidR="00FC566D" w:rsidRPr="002D0D60">
        <w:rPr>
          <w:i/>
          <w:lang w:val="fr-CH"/>
        </w:rPr>
        <w:t>en tant que telle</w:t>
      </w:r>
      <w:r w:rsidR="00FC566D" w:rsidRPr="002D0D60">
        <w:rPr>
          <w:lang w:val="fr-CH"/>
        </w:rPr>
        <w:t xml:space="preserve"> du refroidissement du cœur. Par exemple, un dégagement de radioactivité dû une défaillance de la piscine </w:t>
      </w:r>
      <w:r w:rsidR="00334643" w:rsidRPr="002D0D60">
        <w:rPr>
          <w:lang w:val="fr-CH"/>
        </w:rPr>
        <w:t>des assemblages combustibles, ou à une défaillance du refroidissement de la piscine, ne serait plus une raison pour une mise hors service provisoire</w:t>
      </w:r>
      <w:r w:rsidR="00E72FF3" w:rsidRPr="002D0D60">
        <w:rPr>
          <w:lang w:val="fr-CH"/>
        </w:rPr>
        <w:t>.</w:t>
      </w:r>
      <w:r w:rsidR="00164A65" w:rsidRPr="002D0D60">
        <w:rPr>
          <w:rStyle w:val="Funotenzeichen"/>
          <w:lang w:val="fr-CH"/>
        </w:rPr>
        <w:footnoteReference w:id="19"/>
      </w:r>
    </w:p>
    <w:p w14:paraId="5F1D898A" w14:textId="35CA1225" w:rsidR="00E72FF3" w:rsidRPr="002D0D60" w:rsidRDefault="00334643" w:rsidP="00E72FF3">
      <w:pPr>
        <w:pStyle w:val="Listenabsatz"/>
        <w:numPr>
          <w:ilvl w:val="0"/>
          <w:numId w:val="21"/>
        </w:numPr>
        <w:rPr>
          <w:lang w:val="fr-CH"/>
        </w:rPr>
      </w:pPr>
      <w:r w:rsidRPr="002D0D60">
        <w:rPr>
          <w:lang w:val="fr-CH"/>
        </w:rPr>
        <w:lastRenderedPageBreak/>
        <w:t>En proposant une telle modification, le Conseil fédéral ignore purement et simplement un enseignement primordial de la catastrophe nucléaire</w:t>
      </w:r>
      <w:r w:rsidR="00C2592F" w:rsidRPr="002D0D60">
        <w:rPr>
          <w:lang w:val="fr-CH"/>
        </w:rPr>
        <w:t xml:space="preserve"> </w:t>
      </w:r>
      <w:r w:rsidRPr="002D0D60">
        <w:rPr>
          <w:lang w:val="fr-CH"/>
        </w:rPr>
        <w:t xml:space="preserve">de </w:t>
      </w:r>
      <w:r w:rsidR="00E72FF3" w:rsidRPr="002D0D60">
        <w:rPr>
          <w:lang w:val="fr-CH"/>
        </w:rPr>
        <w:t>Fukushima</w:t>
      </w:r>
      <w:r w:rsidRPr="002D0D60">
        <w:rPr>
          <w:lang w:val="fr-CH"/>
        </w:rPr>
        <w:t xml:space="preserve"> : le réacteur </w:t>
      </w:r>
      <w:r w:rsidR="00E72FF3" w:rsidRPr="002D0D60">
        <w:rPr>
          <w:lang w:val="fr-CH"/>
        </w:rPr>
        <w:t xml:space="preserve">4, </w:t>
      </w:r>
      <w:r w:rsidRPr="002D0D60">
        <w:rPr>
          <w:lang w:val="fr-CH"/>
        </w:rPr>
        <w:t xml:space="preserve">qui était à l’arrêt </w:t>
      </w:r>
      <w:r w:rsidR="00CA5DFF" w:rsidRPr="002D0D60">
        <w:rPr>
          <w:lang w:val="fr-CH"/>
        </w:rPr>
        <w:t xml:space="preserve">au moment du tremblement de terre </w:t>
      </w:r>
      <w:r w:rsidR="00C1582D" w:rsidRPr="002D0D60">
        <w:rPr>
          <w:lang w:val="fr-CH"/>
        </w:rPr>
        <w:t>dévastateur, a subi une défaillance du refroidissement de sa piscine d’assemblages combustibles</w:t>
      </w:r>
      <w:r w:rsidR="00AC36DC" w:rsidRPr="002D0D60">
        <w:rPr>
          <w:lang w:val="fr-CH"/>
        </w:rPr>
        <w:t xml:space="preserve">, et </w:t>
      </w:r>
      <w:r w:rsidR="008278C3" w:rsidRPr="002D0D60">
        <w:rPr>
          <w:lang w:val="fr-CH"/>
        </w:rPr>
        <w:t>c’est avec beaucoup de chance, et grâce à des mesures précaires, qu’</w:t>
      </w:r>
      <w:r w:rsidR="00C1582D" w:rsidRPr="002D0D60">
        <w:rPr>
          <w:lang w:val="fr-CH"/>
        </w:rPr>
        <w:t>un dégagement de radioactivité en</w:t>
      </w:r>
      <w:r w:rsidR="008278C3" w:rsidRPr="002D0D60">
        <w:rPr>
          <w:lang w:val="fr-CH"/>
        </w:rPr>
        <w:t xml:space="preserve">core beaucoup plus grave a </w:t>
      </w:r>
      <w:r w:rsidR="00C1582D" w:rsidRPr="002D0D60">
        <w:rPr>
          <w:lang w:val="fr-CH"/>
        </w:rPr>
        <w:t>pu ê</w:t>
      </w:r>
      <w:r w:rsidR="008278C3" w:rsidRPr="002D0D60">
        <w:rPr>
          <w:lang w:val="fr-CH"/>
        </w:rPr>
        <w:t>tre évité.</w:t>
      </w:r>
    </w:p>
    <w:p w14:paraId="0710495A" w14:textId="3DD8C7CF" w:rsidR="005555EE" w:rsidRPr="002D0D60" w:rsidRDefault="008278C3" w:rsidP="00E72FF3">
      <w:pPr>
        <w:pStyle w:val="berschrift3"/>
        <w:rPr>
          <w:lang w:val="fr-CH"/>
        </w:rPr>
      </w:pPr>
      <w:bookmarkStart w:id="21" w:name="_Toc509959556"/>
      <w:r w:rsidRPr="002D0D60">
        <w:rPr>
          <w:lang w:val="fr-CH"/>
        </w:rPr>
        <w:t>Présentation graphique des affaiblissements par une matrice des risques</w:t>
      </w:r>
      <w:bookmarkEnd w:id="21"/>
    </w:p>
    <w:p w14:paraId="387022ED" w14:textId="1107848F" w:rsidR="00260DCA" w:rsidRPr="002D0D60" w:rsidRDefault="00C2592F" w:rsidP="00260DCA">
      <w:pPr>
        <w:rPr>
          <w:lang w:val="fr-CH"/>
        </w:rPr>
      </w:pPr>
      <w:r w:rsidRPr="002D0D60">
        <w:rPr>
          <w:lang w:val="fr-CH"/>
        </w:rPr>
        <w:t>La révision proposée contrevient totalement à toute pratique établie en matière de stratégie de réduction des risques, selon laquelle l’acceptation des risques baisse</w:t>
      </w:r>
      <w:r w:rsidR="00FE3A1C" w:rsidRPr="002D0D60">
        <w:rPr>
          <w:lang w:val="fr-CH"/>
        </w:rPr>
        <w:t>,</w:t>
      </w:r>
      <w:r w:rsidRPr="002D0D60">
        <w:rPr>
          <w:lang w:val="fr-CH"/>
        </w:rPr>
        <w:t xml:space="preserve"> si la </w:t>
      </w:r>
      <w:r w:rsidR="003A5409" w:rsidRPr="002D0D60">
        <w:rPr>
          <w:lang w:val="fr-CH"/>
        </w:rPr>
        <w:t>probabilité</w:t>
      </w:r>
      <w:r w:rsidRPr="002D0D60">
        <w:rPr>
          <w:lang w:val="fr-CH"/>
        </w:rPr>
        <w:t xml:space="preserve"> </w:t>
      </w:r>
      <w:r w:rsidR="003A5409" w:rsidRPr="002D0D60">
        <w:rPr>
          <w:lang w:val="fr-CH"/>
        </w:rPr>
        <w:t xml:space="preserve">de survenue d’un événement provoquant de graves dommages augmente. </w:t>
      </w:r>
      <w:r w:rsidR="00877A72" w:rsidRPr="002D0D60">
        <w:rPr>
          <w:lang w:val="fr-CH"/>
        </w:rPr>
        <w:t xml:space="preserve">Le rapport explicatif ne fournit aucune justification plausible </w:t>
      </w:r>
      <w:r w:rsidR="00710E1F" w:rsidRPr="002D0D60">
        <w:rPr>
          <w:lang w:val="fr-CH"/>
        </w:rPr>
        <w:t xml:space="preserve">pour l’abandon de ce concept. </w:t>
      </w:r>
      <w:r w:rsidR="00762EAA" w:rsidRPr="002D0D60">
        <w:rPr>
          <w:lang w:val="fr-CH"/>
        </w:rPr>
        <w:t xml:space="preserve">La formule </w:t>
      </w:r>
      <w:r w:rsidR="00762EAA" w:rsidRPr="002D0D60">
        <w:rPr>
          <w:i/>
          <w:lang w:val="fr-CH"/>
        </w:rPr>
        <w:t>« on devra démontrer »</w:t>
      </w:r>
      <w:r w:rsidR="005A6483" w:rsidRPr="002D0D60">
        <w:rPr>
          <w:rStyle w:val="Funotenzeichen"/>
          <w:i/>
          <w:lang w:val="fr-CH"/>
        </w:rPr>
        <w:t xml:space="preserve"> </w:t>
      </w:r>
      <w:r w:rsidR="005A6483" w:rsidRPr="002D0D60">
        <w:rPr>
          <w:rStyle w:val="Funotenzeichen"/>
          <w:i/>
          <w:lang w:val="fr-CH"/>
        </w:rPr>
        <w:footnoteReference w:id="20"/>
      </w:r>
      <w:r w:rsidR="00762EAA" w:rsidRPr="002D0D60">
        <w:rPr>
          <w:i/>
          <w:lang w:val="fr-CH"/>
        </w:rPr>
        <w:t xml:space="preserve"> </w:t>
      </w:r>
      <w:r w:rsidR="005A6483" w:rsidRPr="002D0D60">
        <w:rPr>
          <w:lang w:val="fr-CH"/>
        </w:rPr>
        <w:t xml:space="preserve">à l’avenir </w:t>
      </w:r>
      <w:r w:rsidR="00762EAA" w:rsidRPr="002D0D60">
        <w:rPr>
          <w:lang w:val="fr-CH"/>
        </w:rPr>
        <w:t xml:space="preserve">que la valeur limite actuelle de </w:t>
      </w:r>
      <w:r w:rsidR="00260DCA" w:rsidRPr="002D0D60">
        <w:rPr>
          <w:lang w:val="fr-CH"/>
        </w:rPr>
        <w:t>1</w:t>
      </w:r>
      <w:r w:rsidR="00762EAA" w:rsidRPr="002D0D60">
        <w:rPr>
          <w:lang w:val="fr-CH"/>
        </w:rPr>
        <w:t> </w:t>
      </w:r>
      <w:r w:rsidR="00260DCA" w:rsidRPr="002D0D60">
        <w:rPr>
          <w:lang w:val="fr-CH"/>
        </w:rPr>
        <w:t>mSv</w:t>
      </w:r>
      <w:r w:rsidR="00762EAA" w:rsidRPr="002D0D60">
        <w:rPr>
          <w:lang w:val="fr-CH"/>
        </w:rPr>
        <w:t xml:space="preserve"> peut être respectée en cas d’événement ayant une forte probabilité de survenue </w:t>
      </w:r>
      <w:r w:rsidR="00EC68ED" w:rsidRPr="002D0D60">
        <w:rPr>
          <w:lang w:val="fr-CH"/>
        </w:rPr>
        <w:t>est une imposture : la réduction des risques n’intervient véritablement que par la mise hors service de l’installation. Or la révision proposée supprime explicitement le critère</w:t>
      </w:r>
      <w:r w:rsidR="006D17C3">
        <w:rPr>
          <w:lang w:val="fr-CH"/>
        </w:rPr>
        <w:t xml:space="preserve"> nécessaire</w:t>
      </w:r>
      <w:r w:rsidR="00EC68ED" w:rsidRPr="002D0D60">
        <w:rPr>
          <w:lang w:val="fr-CH"/>
        </w:rPr>
        <w:t xml:space="preserve"> </w:t>
      </w:r>
      <w:r w:rsidR="001172AF">
        <w:rPr>
          <w:lang w:val="fr-CH"/>
        </w:rPr>
        <w:t>à cette</w:t>
      </w:r>
      <w:r w:rsidR="00EC68ED" w:rsidRPr="002D0D60">
        <w:rPr>
          <w:lang w:val="fr-CH"/>
        </w:rPr>
        <w:t xml:space="preserve"> mise hors service</w:t>
      </w:r>
      <w:r w:rsidR="00260DCA" w:rsidRPr="002D0D60">
        <w:rPr>
          <w:lang w:val="fr-CH"/>
        </w:rPr>
        <w:t>.</w:t>
      </w:r>
    </w:p>
    <w:p w14:paraId="3D211003" w14:textId="77777777" w:rsidR="00260DCA" w:rsidRPr="002D0D60" w:rsidRDefault="00260DCA" w:rsidP="00E72FF3">
      <w:pPr>
        <w:rPr>
          <w:lang w:val="fr-CH"/>
        </w:rPr>
      </w:pPr>
    </w:p>
    <w:p w14:paraId="2CFB9DDA" w14:textId="72F9AE04" w:rsidR="003C0E35" w:rsidRPr="002D0D60" w:rsidRDefault="00EC68ED" w:rsidP="00E72FF3">
      <w:pPr>
        <w:rPr>
          <w:lang w:val="fr-CH"/>
        </w:rPr>
      </w:pPr>
      <w:r w:rsidRPr="002D0D60">
        <w:rPr>
          <w:lang w:val="fr-CH"/>
        </w:rPr>
        <w:t xml:space="preserve">L’affaiblissement des exigences de sécurité nucléaire est présenté ci-après sous forme de matrices des risques, qui </w:t>
      </w:r>
      <w:r w:rsidR="006D17C3">
        <w:rPr>
          <w:lang w:val="fr-CH"/>
        </w:rPr>
        <w:t>sont des</w:t>
      </w:r>
      <w:r w:rsidRPr="002D0D60">
        <w:rPr>
          <w:lang w:val="fr-CH"/>
        </w:rPr>
        <w:t xml:space="preserve"> instrument</w:t>
      </w:r>
      <w:r w:rsidR="006D17C3">
        <w:rPr>
          <w:lang w:val="fr-CH"/>
        </w:rPr>
        <w:t>s</w:t>
      </w:r>
      <w:r w:rsidRPr="002D0D60">
        <w:rPr>
          <w:lang w:val="fr-CH"/>
        </w:rPr>
        <w:t xml:space="preserve"> couramment utilisé</w:t>
      </w:r>
      <w:r w:rsidR="006D17C3">
        <w:rPr>
          <w:lang w:val="fr-CH"/>
        </w:rPr>
        <w:t>s</w:t>
      </w:r>
      <w:r w:rsidRPr="002D0D60">
        <w:rPr>
          <w:lang w:val="fr-CH"/>
        </w:rPr>
        <w:t xml:space="preserve"> dans ce contexte</w:t>
      </w:r>
      <w:r w:rsidR="00260DCA" w:rsidRPr="002D0D60">
        <w:rPr>
          <w:lang w:val="fr-CH"/>
        </w:rPr>
        <w:t>.</w:t>
      </w:r>
    </w:p>
    <w:p w14:paraId="20A9CB0A" w14:textId="62FD67FD" w:rsidR="00260DCA" w:rsidRPr="002D0D60" w:rsidRDefault="00260DCA" w:rsidP="00260DCA">
      <w:pPr>
        <w:spacing w:after="200" w:line="276" w:lineRule="auto"/>
        <w:rPr>
          <w:lang w:val="fr-CH"/>
        </w:rPr>
      </w:pPr>
      <w:r w:rsidRPr="002D0D60">
        <w:rPr>
          <w:lang w:val="fr-CH"/>
        </w:rPr>
        <w:br w:type="page"/>
      </w:r>
    </w:p>
    <w:p w14:paraId="3DD5AF3E" w14:textId="495F13F6" w:rsidR="002B7319" w:rsidRPr="002D0D60" w:rsidRDefault="00342948" w:rsidP="00260DCA">
      <w:pPr>
        <w:pStyle w:val="KeinLeerraum"/>
        <w:rPr>
          <w:color w:val="FF0000"/>
          <w:lang w:val="fr-CH"/>
        </w:rPr>
      </w:pPr>
      <w:r>
        <w:rPr>
          <w:noProof/>
          <w:color w:val="FF0000"/>
          <w:lang w:val="de-DE" w:eastAsia="de-DE"/>
        </w:rPr>
        <w:lastRenderedPageBreak/>
        <w:drawing>
          <wp:inline distT="0" distB="0" distL="0" distR="0" wp14:anchorId="5F8D9BF5" wp14:editId="18D4CFC8">
            <wp:extent cx="4004310" cy="2970131"/>
            <wp:effectExtent l="0" t="0" r="8890" b="190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ikomatrix-KKB-Abb1.jpg"/>
                    <pic:cNvPicPr/>
                  </pic:nvPicPr>
                  <pic:blipFill rotWithShape="1">
                    <a:blip r:embed="rId8">
                      <a:extLst>
                        <a:ext uri="{28A0092B-C50C-407E-A947-70E740481C1C}">
                          <a14:useLocalDpi xmlns:a14="http://schemas.microsoft.com/office/drawing/2010/main" val="0"/>
                        </a:ext>
                      </a:extLst>
                    </a:blip>
                    <a:srcRect r="13786" b="11153"/>
                    <a:stretch/>
                  </pic:blipFill>
                  <pic:spPr bwMode="auto">
                    <a:xfrm>
                      <a:off x="0" y="0"/>
                      <a:ext cx="4004671" cy="2970399"/>
                    </a:xfrm>
                    <a:prstGeom prst="rect">
                      <a:avLst/>
                    </a:prstGeom>
                    <a:ln>
                      <a:noFill/>
                    </a:ln>
                    <a:extLst>
                      <a:ext uri="{53640926-AAD7-44D8-BBD7-CCE9431645EC}">
                        <a14:shadowObscured xmlns:a14="http://schemas.microsoft.com/office/drawing/2010/main"/>
                      </a:ext>
                    </a:extLst>
                  </pic:spPr>
                </pic:pic>
              </a:graphicData>
            </a:graphic>
          </wp:inline>
        </w:drawing>
      </w:r>
    </w:p>
    <w:p w14:paraId="0426AEB0" w14:textId="77777777" w:rsidR="002634E4" w:rsidRPr="00862CE2" w:rsidRDefault="002634E4" w:rsidP="002634E4">
      <w:pPr>
        <w:rPr>
          <w:color w:val="E58272" w:themeColor="text2" w:themeTint="99"/>
          <w:sz w:val="18"/>
          <w:szCs w:val="18"/>
          <w:lang w:val="fr-CH"/>
        </w:rPr>
      </w:pPr>
      <w:r w:rsidRPr="00862CE2">
        <w:rPr>
          <w:sz w:val="18"/>
          <w:szCs w:val="18"/>
          <w:lang w:val="fr-CH"/>
        </w:rPr>
        <w:t xml:space="preserve">Figure 1 : Obligations légales actuelles </w:t>
      </w:r>
      <w:r w:rsidRPr="00862CE2">
        <w:rPr>
          <w:color w:val="E58272" w:themeColor="text2" w:themeTint="99"/>
          <w:sz w:val="18"/>
          <w:szCs w:val="18"/>
          <w:lang w:val="fr-CH"/>
        </w:rPr>
        <w:t>Rouge = critères de mise hors service</w:t>
      </w:r>
    </w:p>
    <w:p w14:paraId="15B0D502" w14:textId="77777777" w:rsidR="00827AC4" w:rsidRDefault="00827AC4" w:rsidP="00260DCA">
      <w:pPr>
        <w:rPr>
          <w:b/>
          <w:i/>
          <w:lang w:val="fr-CH"/>
        </w:rPr>
      </w:pPr>
    </w:p>
    <w:p w14:paraId="3B188FBF" w14:textId="77777777" w:rsidR="00F53264" w:rsidRPr="002D0D60" w:rsidRDefault="00F53264" w:rsidP="00260DCA">
      <w:pPr>
        <w:rPr>
          <w:b/>
          <w:i/>
          <w:lang w:val="fr-CH"/>
        </w:rPr>
      </w:pPr>
    </w:p>
    <w:p w14:paraId="4FBCB5C7" w14:textId="21A500B6" w:rsidR="00260DCA" w:rsidRPr="002D0D60" w:rsidRDefault="002634E4" w:rsidP="00260DCA">
      <w:pPr>
        <w:pStyle w:val="KeinLeerraum"/>
        <w:rPr>
          <w:color w:val="FF0000"/>
          <w:lang w:val="fr-CH"/>
        </w:rPr>
      </w:pPr>
      <w:r>
        <w:rPr>
          <w:noProof/>
          <w:color w:val="FF0000"/>
          <w:lang w:val="de-DE" w:eastAsia="de-DE"/>
        </w:rPr>
        <w:drawing>
          <wp:inline distT="0" distB="0" distL="0" distR="0" wp14:anchorId="5218FFA9" wp14:editId="5B71D225">
            <wp:extent cx="4645025" cy="3343275"/>
            <wp:effectExtent l="0" t="0" r="3175" b="952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sikomatrix-KKB_Abb2.jpg"/>
                    <pic:cNvPicPr/>
                  </pic:nvPicPr>
                  <pic:blipFill>
                    <a:blip r:embed="rId9">
                      <a:extLst>
                        <a:ext uri="{28A0092B-C50C-407E-A947-70E740481C1C}">
                          <a14:useLocalDpi xmlns:a14="http://schemas.microsoft.com/office/drawing/2010/main" val="0"/>
                        </a:ext>
                      </a:extLst>
                    </a:blip>
                    <a:stretch>
                      <a:fillRect/>
                    </a:stretch>
                  </pic:blipFill>
                  <pic:spPr>
                    <a:xfrm>
                      <a:off x="0" y="0"/>
                      <a:ext cx="4645025" cy="3343275"/>
                    </a:xfrm>
                    <a:prstGeom prst="rect">
                      <a:avLst/>
                    </a:prstGeom>
                  </pic:spPr>
                </pic:pic>
              </a:graphicData>
            </a:graphic>
          </wp:inline>
        </w:drawing>
      </w:r>
    </w:p>
    <w:p w14:paraId="65297961" w14:textId="77777777" w:rsidR="002634E4" w:rsidRPr="00862CE2" w:rsidRDefault="002634E4" w:rsidP="002634E4">
      <w:pPr>
        <w:rPr>
          <w:color w:val="E58272" w:themeColor="text2" w:themeTint="99"/>
          <w:sz w:val="18"/>
          <w:szCs w:val="18"/>
          <w:lang w:val="fr-CH"/>
        </w:rPr>
      </w:pPr>
      <w:r w:rsidRPr="00862CE2">
        <w:rPr>
          <w:sz w:val="18"/>
          <w:szCs w:val="18"/>
          <w:lang w:val="fr-CH"/>
        </w:rPr>
        <w:t xml:space="preserve">Figure 2 : Obligations légales selon le projet mis en consultation concernant les accidents qui ne sont pas causés par des événements naturels. </w:t>
      </w:r>
      <w:r w:rsidRPr="00862CE2">
        <w:rPr>
          <w:color w:val="E58272" w:themeColor="text2" w:themeTint="99"/>
          <w:sz w:val="18"/>
          <w:szCs w:val="18"/>
          <w:lang w:val="fr-CH"/>
        </w:rPr>
        <w:t>Rouge = critères de mise hors service</w:t>
      </w:r>
    </w:p>
    <w:p w14:paraId="0ABFF39B" w14:textId="77777777" w:rsidR="00986B2E" w:rsidRPr="002D0D60" w:rsidRDefault="00986B2E">
      <w:pPr>
        <w:spacing w:after="200" w:line="276" w:lineRule="auto"/>
        <w:rPr>
          <w:color w:val="FF0000"/>
          <w:lang w:val="fr-CH"/>
        </w:rPr>
      </w:pPr>
    </w:p>
    <w:p w14:paraId="6059C03D" w14:textId="77777777" w:rsidR="00260DCA" w:rsidRPr="002D0D60" w:rsidRDefault="00260DCA" w:rsidP="00260DCA">
      <w:pPr>
        <w:pStyle w:val="KeinLeerraum"/>
        <w:rPr>
          <w:color w:val="FF0000"/>
          <w:lang w:val="fr-CH"/>
        </w:rPr>
      </w:pPr>
    </w:p>
    <w:p w14:paraId="15968556" w14:textId="0E5E9131" w:rsidR="00260DCA" w:rsidRPr="002D0D60" w:rsidRDefault="002634E4" w:rsidP="00260DCA">
      <w:pPr>
        <w:pStyle w:val="KeinLeerraum"/>
        <w:rPr>
          <w:color w:val="FF0000"/>
          <w:lang w:val="fr-CH"/>
        </w:rPr>
      </w:pPr>
      <w:r>
        <w:rPr>
          <w:noProof/>
          <w:color w:val="FF0000"/>
          <w:lang w:val="de-DE" w:eastAsia="de-DE"/>
        </w:rPr>
        <w:lastRenderedPageBreak/>
        <w:drawing>
          <wp:inline distT="0" distB="0" distL="0" distR="0" wp14:anchorId="5CF4CB28" wp14:editId="0F7465DF">
            <wp:extent cx="4644937" cy="3023527"/>
            <wp:effectExtent l="0" t="0" r="381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sikomatrix-KKB_Abb3.jpg"/>
                    <pic:cNvPicPr/>
                  </pic:nvPicPr>
                  <pic:blipFill rotWithShape="1">
                    <a:blip r:embed="rId10">
                      <a:extLst>
                        <a:ext uri="{28A0092B-C50C-407E-A947-70E740481C1C}">
                          <a14:useLocalDpi xmlns:a14="http://schemas.microsoft.com/office/drawing/2010/main" val="0"/>
                        </a:ext>
                      </a:extLst>
                    </a:blip>
                    <a:srcRect t="7110" b="5842"/>
                    <a:stretch/>
                  </pic:blipFill>
                  <pic:spPr bwMode="auto">
                    <a:xfrm>
                      <a:off x="0" y="0"/>
                      <a:ext cx="4645025" cy="3023584"/>
                    </a:xfrm>
                    <a:prstGeom prst="rect">
                      <a:avLst/>
                    </a:prstGeom>
                    <a:ln>
                      <a:noFill/>
                    </a:ln>
                    <a:extLst>
                      <a:ext uri="{53640926-AAD7-44D8-BBD7-CCE9431645EC}">
                        <a14:shadowObscured xmlns:a14="http://schemas.microsoft.com/office/drawing/2010/main"/>
                      </a:ext>
                    </a:extLst>
                  </pic:spPr>
                </pic:pic>
              </a:graphicData>
            </a:graphic>
          </wp:inline>
        </w:drawing>
      </w:r>
    </w:p>
    <w:p w14:paraId="5BD5782E" w14:textId="77777777" w:rsidR="002634E4" w:rsidRPr="00862CE2" w:rsidRDefault="002634E4" w:rsidP="002634E4">
      <w:pPr>
        <w:rPr>
          <w:sz w:val="18"/>
          <w:szCs w:val="18"/>
          <w:lang w:val="fr-CH"/>
        </w:rPr>
      </w:pPr>
      <w:r w:rsidRPr="00862CE2">
        <w:rPr>
          <w:sz w:val="18"/>
          <w:szCs w:val="18"/>
          <w:lang w:val="fr-CH"/>
        </w:rPr>
        <w:t xml:space="preserve">Figure 3 : Obligations légales selon le projet mis en consultation concernant les accidents causés par des événements naturels. </w:t>
      </w:r>
      <w:r w:rsidRPr="00862CE2">
        <w:rPr>
          <w:color w:val="E58272" w:themeColor="text2" w:themeTint="99"/>
          <w:sz w:val="18"/>
          <w:szCs w:val="18"/>
          <w:lang w:val="fr-CH"/>
        </w:rPr>
        <w:t>Rouge = critères de mise hors service</w:t>
      </w:r>
    </w:p>
    <w:p w14:paraId="0C682267" w14:textId="77777777" w:rsidR="00D70336" w:rsidRPr="002D0D60" w:rsidRDefault="00D70336" w:rsidP="00E72FF3">
      <w:pPr>
        <w:rPr>
          <w:b/>
          <w:sz w:val="18"/>
          <w:szCs w:val="18"/>
          <w:lang w:val="fr-CH"/>
        </w:rPr>
      </w:pPr>
    </w:p>
    <w:p w14:paraId="11FC6FA2" w14:textId="77777777" w:rsidR="00D70336" w:rsidRPr="002D0D60" w:rsidRDefault="00D70336" w:rsidP="00E72FF3">
      <w:pPr>
        <w:rPr>
          <w:b/>
          <w:sz w:val="18"/>
          <w:szCs w:val="18"/>
          <w:lang w:val="fr-CH"/>
        </w:rPr>
      </w:pPr>
    </w:p>
    <w:p w14:paraId="2EC3CD51" w14:textId="78B22752" w:rsidR="002B7319" w:rsidRPr="002D0D60" w:rsidRDefault="00753A57" w:rsidP="00E72FF3">
      <w:pPr>
        <w:rPr>
          <w:b/>
          <w:sz w:val="18"/>
          <w:szCs w:val="18"/>
          <w:lang w:val="fr-CH"/>
        </w:rPr>
      </w:pPr>
      <w:r w:rsidRPr="002D0D60">
        <w:rPr>
          <w:b/>
          <w:sz w:val="18"/>
          <w:szCs w:val="18"/>
          <w:lang w:val="fr-CH"/>
        </w:rPr>
        <w:t>Lecture :</w:t>
      </w:r>
    </w:p>
    <w:p w14:paraId="02698558" w14:textId="4319B2B9" w:rsidR="002861FB" w:rsidRPr="002F26D0" w:rsidRDefault="002861FB" w:rsidP="002F26D0">
      <w:pPr>
        <w:rPr>
          <w:b/>
          <w:sz w:val="18"/>
          <w:szCs w:val="18"/>
          <w:lang w:val="fr-CH"/>
        </w:rPr>
      </w:pPr>
      <w:r w:rsidRPr="002F26D0">
        <w:rPr>
          <w:b/>
          <w:sz w:val="18"/>
          <w:szCs w:val="18"/>
          <w:lang w:val="fr-CH"/>
        </w:rPr>
        <w:t>Situation actuelle (</w:t>
      </w:r>
      <w:r w:rsidR="008D7132" w:rsidRPr="002F26D0">
        <w:rPr>
          <w:b/>
          <w:sz w:val="18"/>
          <w:szCs w:val="18"/>
          <w:lang w:val="fr-CH"/>
        </w:rPr>
        <w:t>Figur</w:t>
      </w:r>
      <w:r w:rsidRPr="002F26D0">
        <w:rPr>
          <w:b/>
          <w:sz w:val="18"/>
          <w:szCs w:val="18"/>
          <w:lang w:val="fr-CH"/>
        </w:rPr>
        <w:t>e 1) :</w:t>
      </w:r>
    </w:p>
    <w:p w14:paraId="4EA9BA80" w14:textId="3EC6D993" w:rsidR="002861FB" w:rsidRPr="002F26D0" w:rsidRDefault="002861FB" w:rsidP="002F26D0">
      <w:pPr>
        <w:pStyle w:val="Listenabsatz"/>
        <w:numPr>
          <w:ilvl w:val="0"/>
          <w:numId w:val="35"/>
        </w:numPr>
        <w:rPr>
          <w:sz w:val="18"/>
          <w:szCs w:val="18"/>
          <w:lang w:val="fr-CH"/>
        </w:rPr>
      </w:pPr>
      <w:r w:rsidRPr="002F26D0">
        <w:rPr>
          <w:sz w:val="18"/>
          <w:szCs w:val="18"/>
          <w:lang w:val="fr-CH"/>
        </w:rPr>
        <w:t>En cas d’accident d’une probabilité située entre 1:100 (10</w:t>
      </w:r>
      <w:r w:rsidRPr="002F26D0">
        <w:rPr>
          <w:sz w:val="18"/>
          <w:szCs w:val="18"/>
          <w:vertAlign w:val="superscript"/>
          <w:lang w:val="fr-CH"/>
        </w:rPr>
        <w:t>-2</w:t>
      </w:r>
      <w:r w:rsidRPr="002F26D0">
        <w:rPr>
          <w:sz w:val="18"/>
          <w:szCs w:val="18"/>
          <w:lang w:val="fr-CH"/>
        </w:rPr>
        <w:t>) et 1:10 000 (10</w:t>
      </w:r>
      <w:r w:rsidRPr="002F26D0">
        <w:rPr>
          <w:sz w:val="18"/>
          <w:szCs w:val="18"/>
          <w:vertAlign w:val="superscript"/>
          <w:lang w:val="fr-CH"/>
        </w:rPr>
        <w:t>-4</w:t>
      </w:r>
      <w:r w:rsidRPr="002F26D0">
        <w:rPr>
          <w:sz w:val="18"/>
          <w:szCs w:val="18"/>
          <w:lang w:val="fr-CH"/>
        </w:rPr>
        <w:t>) ans, la valeur limite de dose pour la population est de 1 mSv par année. Si les modèles de calcul indiquent que cette valeur est dépassée, l’installation doit être mise provisoirement hors service (surface rouge). Pour les accidents plus rares, et donc plus graves, survenant à une fréquence située entre 1:10 000 (10</w:t>
      </w:r>
      <w:r w:rsidRPr="002F26D0">
        <w:rPr>
          <w:sz w:val="18"/>
          <w:szCs w:val="18"/>
          <w:vertAlign w:val="superscript"/>
          <w:lang w:val="fr-CH"/>
        </w:rPr>
        <w:t>-4</w:t>
      </w:r>
      <w:r w:rsidRPr="002F26D0">
        <w:rPr>
          <w:sz w:val="18"/>
          <w:szCs w:val="18"/>
          <w:lang w:val="fr-CH"/>
        </w:rPr>
        <w:t>) et 1:1 million (10</w:t>
      </w:r>
      <w:r w:rsidRPr="002F26D0">
        <w:rPr>
          <w:sz w:val="18"/>
          <w:szCs w:val="18"/>
          <w:vertAlign w:val="superscript"/>
          <w:lang w:val="fr-CH"/>
        </w:rPr>
        <w:t>-6</w:t>
      </w:r>
      <w:r w:rsidRPr="002F26D0">
        <w:rPr>
          <w:sz w:val="18"/>
          <w:szCs w:val="18"/>
          <w:lang w:val="fr-CH"/>
        </w:rPr>
        <w:t xml:space="preserve">) d’années, le principe est le même, mais la valeur limite est de 100 mSv (en rouge également). Les accidents ayant une probabilité de survenue inférieure à 1:1 million sont qualifiés comme étant « hors dimensionnement », c’est-à-dire que le respect d’une valeur limite de dose radioactive </w:t>
      </w:r>
      <w:r w:rsidR="008D7132" w:rsidRPr="002F26D0">
        <w:rPr>
          <w:sz w:val="18"/>
          <w:szCs w:val="18"/>
          <w:lang w:val="fr-CH"/>
        </w:rPr>
        <w:t>n’est plus exigé</w:t>
      </w:r>
      <w:r w:rsidRPr="002F26D0">
        <w:rPr>
          <w:sz w:val="18"/>
          <w:szCs w:val="18"/>
          <w:lang w:val="fr-CH"/>
        </w:rPr>
        <w:t xml:space="preserve">. Dans ces cas de figure, </w:t>
      </w:r>
      <w:r w:rsidR="008D7132" w:rsidRPr="002F26D0">
        <w:rPr>
          <w:sz w:val="18"/>
          <w:szCs w:val="18"/>
          <w:lang w:val="fr-CH"/>
        </w:rPr>
        <w:t>l’accent est mis sur l</w:t>
      </w:r>
      <w:r w:rsidRPr="002F26D0">
        <w:rPr>
          <w:sz w:val="18"/>
          <w:szCs w:val="18"/>
          <w:lang w:val="fr-CH"/>
        </w:rPr>
        <w:t>a protection</w:t>
      </w:r>
      <w:r w:rsidR="008D7132" w:rsidRPr="002F26D0">
        <w:rPr>
          <w:sz w:val="18"/>
          <w:szCs w:val="18"/>
          <w:lang w:val="fr-CH"/>
        </w:rPr>
        <w:t xml:space="preserve"> de la population </w:t>
      </w:r>
      <w:r w:rsidRPr="002F26D0">
        <w:rPr>
          <w:sz w:val="18"/>
          <w:szCs w:val="18"/>
          <w:lang w:val="fr-CH"/>
        </w:rPr>
        <w:t>.</w:t>
      </w:r>
    </w:p>
    <w:p w14:paraId="60621EBB" w14:textId="77777777" w:rsidR="008D7132" w:rsidRDefault="008D7132" w:rsidP="002861FB">
      <w:pPr>
        <w:rPr>
          <w:sz w:val="18"/>
          <w:szCs w:val="18"/>
          <w:lang w:val="fr-CH"/>
        </w:rPr>
      </w:pPr>
    </w:p>
    <w:p w14:paraId="6D95B09F" w14:textId="77777777" w:rsidR="008D7132" w:rsidRPr="002F26D0" w:rsidRDefault="002861FB" w:rsidP="002861FB">
      <w:pPr>
        <w:rPr>
          <w:b/>
          <w:sz w:val="18"/>
          <w:szCs w:val="18"/>
          <w:lang w:val="fr-CH"/>
        </w:rPr>
      </w:pPr>
      <w:r w:rsidRPr="002F26D0">
        <w:rPr>
          <w:b/>
          <w:sz w:val="18"/>
          <w:szCs w:val="18"/>
          <w:lang w:val="fr-CH"/>
        </w:rPr>
        <w:t>Situation avec la révision proposée :</w:t>
      </w:r>
    </w:p>
    <w:p w14:paraId="2D1E9A90" w14:textId="2910FD04" w:rsidR="002F26D0" w:rsidRDefault="008D7132" w:rsidP="002861FB">
      <w:pPr>
        <w:pStyle w:val="Listenabsatz"/>
        <w:numPr>
          <w:ilvl w:val="0"/>
          <w:numId w:val="35"/>
        </w:numPr>
        <w:rPr>
          <w:sz w:val="18"/>
          <w:szCs w:val="18"/>
          <w:lang w:val="fr-CH"/>
        </w:rPr>
      </w:pPr>
      <w:r w:rsidRPr="002F26D0">
        <w:rPr>
          <w:b/>
          <w:sz w:val="18"/>
          <w:szCs w:val="18"/>
          <w:lang w:val="fr-CH"/>
        </w:rPr>
        <w:t>Pour tous les types d’accident hormis ceux provoqués par un événement naturel (figure 2)</w:t>
      </w:r>
      <w:r w:rsidR="002F26D0" w:rsidRPr="002F26D0">
        <w:rPr>
          <w:b/>
          <w:sz w:val="18"/>
          <w:szCs w:val="18"/>
          <w:lang w:val="fr-CH"/>
        </w:rPr>
        <w:t> </w:t>
      </w:r>
      <w:r w:rsidR="002F26D0" w:rsidRPr="002F26D0">
        <w:rPr>
          <w:sz w:val="18"/>
          <w:szCs w:val="18"/>
          <w:lang w:val="fr-CH"/>
        </w:rPr>
        <w:t>:</w:t>
      </w:r>
      <w:r w:rsidR="002F26D0">
        <w:rPr>
          <w:sz w:val="18"/>
          <w:szCs w:val="18"/>
          <w:lang w:val="fr-CH"/>
        </w:rPr>
        <w:t xml:space="preserve"> </w:t>
      </w:r>
      <w:r w:rsidR="00F764D4" w:rsidRPr="002F26D0">
        <w:rPr>
          <w:sz w:val="18"/>
          <w:szCs w:val="18"/>
          <w:lang w:val="fr-CH"/>
        </w:rPr>
        <w:t xml:space="preserve">L’exploitant doit certes prouver que son installation résiste à l’ensemble du spectre de probabilités et que les doses limites sont respectées. Néanmoins, et c’est nouveau, seul un dépassement de la dose radioactive de 100 mSv – et seulement </w:t>
      </w:r>
      <w:r w:rsidR="002F26D0">
        <w:rPr>
          <w:sz w:val="18"/>
          <w:szCs w:val="18"/>
          <w:lang w:val="fr-CH"/>
        </w:rPr>
        <w:t xml:space="preserve">si celle-ci </w:t>
      </w:r>
      <w:r w:rsidR="00F764D4" w:rsidRPr="002F26D0">
        <w:rPr>
          <w:sz w:val="18"/>
          <w:szCs w:val="18"/>
          <w:lang w:val="fr-CH"/>
        </w:rPr>
        <w:t>prov</w:t>
      </w:r>
      <w:r w:rsidR="002F26D0">
        <w:rPr>
          <w:sz w:val="18"/>
          <w:szCs w:val="18"/>
          <w:lang w:val="fr-CH"/>
        </w:rPr>
        <w:t>ient</w:t>
      </w:r>
      <w:r w:rsidR="00F764D4" w:rsidRPr="002F26D0">
        <w:rPr>
          <w:sz w:val="18"/>
          <w:szCs w:val="18"/>
          <w:lang w:val="fr-CH"/>
        </w:rPr>
        <w:t xml:space="preserve"> du refroidissement du cœur – conduit à un arrêt provisoire de la centrale. Pour les doses moins élevées ou ayant une autre origine, les critères de mise hors services sont supprimés</w:t>
      </w:r>
      <w:r w:rsidR="002F26D0" w:rsidRPr="002F26D0">
        <w:rPr>
          <w:sz w:val="18"/>
          <w:szCs w:val="18"/>
          <w:lang w:val="fr-CH"/>
        </w:rPr>
        <w:t xml:space="preserve"> (voir 2.3.5)</w:t>
      </w:r>
      <w:r w:rsidR="007D76D2">
        <w:rPr>
          <w:sz w:val="18"/>
          <w:szCs w:val="18"/>
          <w:lang w:val="fr-CH"/>
        </w:rPr>
        <w:t>.</w:t>
      </w:r>
      <w:r w:rsidR="00F764D4" w:rsidRPr="002F26D0">
        <w:rPr>
          <w:sz w:val="18"/>
          <w:szCs w:val="18"/>
          <w:lang w:val="fr-CH"/>
        </w:rPr>
        <w:t xml:space="preserve"> </w:t>
      </w:r>
      <w:r w:rsidR="002861FB" w:rsidRPr="002F26D0">
        <w:rPr>
          <w:sz w:val="18"/>
          <w:szCs w:val="18"/>
          <w:lang w:val="fr-CH"/>
        </w:rPr>
        <w:t>Ceci signifie que même en cas d’événement survenant en moyenne tous les 10 ans, une dose pouvant aller jusqu’à 100 mSv serait admissible</w:t>
      </w:r>
      <w:r w:rsidRPr="002F26D0">
        <w:rPr>
          <w:sz w:val="18"/>
          <w:szCs w:val="18"/>
          <w:lang w:val="fr-CH"/>
        </w:rPr>
        <w:t>, sans que cela entraine un arrêt de la centrale</w:t>
      </w:r>
      <w:r w:rsidR="002861FB" w:rsidRPr="002F26D0">
        <w:rPr>
          <w:sz w:val="18"/>
          <w:szCs w:val="18"/>
          <w:lang w:val="fr-CH"/>
        </w:rPr>
        <w:t xml:space="preserve">. </w:t>
      </w:r>
    </w:p>
    <w:p w14:paraId="60B8ED24" w14:textId="3E296EE4" w:rsidR="008D7132" w:rsidRPr="002F26D0" w:rsidRDefault="002F26D0" w:rsidP="002861FB">
      <w:pPr>
        <w:pStyle w:val="Listenabsatz"/>
        <w:numPr>
          <w:ilvl w:val="0"/>
          <w:numId w:val="35"/>
        </w:numPr>
        <w:rPr>
          <w:sz w:val="18"/>
          <w:szCs w:val="18"/>
          <w:lang w:val="fr-CH"/>
        </w:rPr>
      </w:pPr>
      <w:r w:rsidRPr="002F26D0">
        <w:rPr>
          <w:b/>
          <w:sz w:val="18"/>
          <w:szCs w:val="18"/>
          <w:lang w:val="fr-CH"/>
        </w:rPr>
        <w:t>Pour les types d’accident provoqués par un événement naturel (figure 3) :</w:t>
      </w:r>
      <w:r w:rsidRPr="002F26D0">
        <w:rPr>
          <w:sz w:val="18"/>
          <w:szCs w:val="18"/>
          <w:lang w:val="fr-CH"/>
        </w:rPr>
        <w:t xml:space="preserve"> La révision propose qu’un justificatif soit à fournir uniquement pour la probabilité ponctuelle de 1:1'000 et celle de 1:10'000. </w:t>
      </w:r>
      <w:r w:rsidR="007D76D2">
        <w:rPr>
          <w:sz w:val="18"/>
          <w:szCs w:val="18"/>
          <w:lang w:val="fr-CH"/>
        </w:rPr>
        <w:t xml:space="preserve">Une démonstration que la </w:t>
      </w:r>
      <w:r w:rsidRPr="002F26D0">
        <w:rPr>
          <w:sz w:val="18"/>
          <w:szCs w:val="18"/>
          <w:lang w:val="fr-CH"/>
        </w:rPr>
        <w:t>protection</w:t>
      </w:r>
      <w:r w:rsidR="007D76D2">
        <w:rPr>
          <w:sz w:val="18"/>
          <w:szCs w:val="18"/>
          <w:lang w:val="fr-CH"/>
        </w:rPr>
        <w:t xml:space="preserve"> est</w:t>
      </w:r>
      <w:r w:rsidRPr="002F26D0">
        <w:rPr>
          <w:sz w:val="18"/>
          <w:szCs w:val="18"/>
          <w:lang w:val="fr-CH"/>
        </w:rPr>
        <w:t xml:space="preserve"> enveloppante, </w:t>
      </w:r>
      <w:r w:rsidRPr="002F26D0">
        <w:rPr>
          <w:sz w:val="18"/>
          <w:szCs w:val="18"/>
          <w:lang w:val="fr-CH"/>
        </w:rPr>
        <w:lastRenderedPageBreak/>
        <w:t>comme l’exige la législation et les standards internationaux, n’est plus requis</w:t>
      </w:r>
      <w:r w:rsidR="007D76D2">
        <w:rPr>
          <w:sz w:val="18"/>
          <w:szCs w:val="18"/>
          <w:lang w:val="fr-CH"/>
        </w:rPr>
        <w:t>e</w:t>
      </w:r>
      <w:r w:rsidRPr="002F26D0">
        <w:rPr>
          <w:sz w:val="18"/>
          <w:szCs w:val="18"/>
          <w:lang w:val="fr-CH"/>
        </w:rPr>
        <w:t>. Par conséquence, un évènement ayant par exemple une probabilité de 1:1'500 n’a plus de valeur limite de dose correspondante. Actuellement, la valeur limite est de 1 mSv. Là aussi, l’installation doit être uniquement mise hors service lorsqu’une valeur de 100 mSv est dépassée et seulement si cette dose provient du refroidissement du cœur.</w:t>
      </w:r>
    </w:p>
    <w:p w14:paraId="0678C8EA" w14:textId="77777777" w:rsidR="002F26D0" w:rsidRDefault="002F26D0" w:rsidP="002861FB">
      <w:pPr>
        <w:rPr>
          <w:sz w:val="18"/>
          <w:szCs w:val="18"/>
          <w:lang w:val="fr-CH"/>
        </w:rPr>
      </w:pPr>
    </w:p>
    <w:p w14:paraId="459822A8" w14:textId="0D28F5D3" w:rsidR="00260DCA" w:rsidRPr="002D0D60" w:rsidRDefault="00260DCA">
      <w:pPr>
        <w:spacing w:after="200" w:line="276" w:lineRule="auto"/>
        <w:rPr>
          <w:lang w:val="fr-CH"/>
        </w:rPr>
      </w:pPr>
      <w:r w:rsidRPr="002D0D60">
        <w:rPr>
          <w:lang w:val="fr-CH"/>
        </w:rPr>
        <w:br w:type="page"/>
      </w:r>
    </w:p>
    <w:p w14:paraId="26D461EF" w14:textId="62262B51" w:rsidR="005505E9" w:rsidRPr="002D0D60" w:rsidRDefault="00E60DE7" w:rsidP="005505E9">
      <w:pPr>
        <w:pStyle w:val="berschrift3"/>
        <w:rPr>
          <w:lang w:val="fr-CH"/>
        </w:rPr>
      </w:pPr>
      <w:bookmarkStart w:id="22" w:name="_Ref506888112"/>
      <w:bookmarkStart w:id="23" w:name="_Toc509959557"/>
      <w:r w:rsidRPr="002D0D60">
        <w:rPr>
          <w:lang w:val="fr-CH"/>
        </w:rPr>
        <w:lastRenderedPageBreak/>
        <w:t>Exposition radiologique potentielle inadmissible</w:t>
      </w:r>
      <w:bookmarkEnd w:id="22"/>
      <w:bookmarkEnd w:id="23"/>
    </w:p>
    <w:p w14:paraId="68C4FAC4" w14:textId="04488505" w:rsidR="001D6002" w:rsidRPr="002D0D60" w:rsidRDefault="001172AF" w:rsidP="00191A5F">
      <w:pPr>
        <w:rPr>
          <w:lang w:val="fr-CH"/>
        </w:rPr>
      </w:pPr>
      <w:r>
        <w:rPr>
          <w:lang w:val="fr-CH"/>
        </w:rPr>
        <w:t>Dans</w:t>
      </w:r>
      <w:r w:rsidR="00A064E4" w:rsidRPr="002D0D60">
        <w:rPr>
          <w:lang w:val="fr-CH"/>
        </w:rPr>
        <w:t xml:space="preserve"> la motivation de la </w:t>
      </w:r>
      <w:r w:rsidR="007401FF" w:rsidRPr="002D0D60">
        <w:rPr>
          <w:lang w:val="fr-CH"/>
        </w:rPr>
        <w:t>révision</w:t>
      </w:r>
      <w:r w:rsidR="00A064E4" w:rsidRPr="002D0D60">
        <w:rPr>
          <w:lang w:val="fr-CH"/>
        </w:rPr>
        <w:t xml:space="preserve">, </w:t>
      </w:r>
      <w:r>
        <w:rPr>
          <w:lang w:val="fr-CH"/>
        </w:rPr>
        <w:t xml:space="preserve">il est dit que </w:t>
      </w:r>
      <w:r w:rsidR="00A064E4" w:rsidRPr="002D0D60">
        <w:rPr>
          <w:lang w:val="fr-CH"/>
        </w:rPr>
        <w:t xml:space="preserve">la mise hors service en cas de dépassement de la valeur limite de </w:t>
      </w:r>
      <w:r w:rsidR="001D586B" w:rsidRPr="002D0D60">
        <w:rPr>
          <w:lang w:val="fr-CH"/>
        </w:rPr>
        <w:t>1 mSv</w:t>
      </w:r>
      <w:r w:rsidR="00A064E4" w:rsidRPr="002D0D60">
        <w:rPr>
          <w:lang w:val="fr-CH"/>
        </w:rPr>
        <w:t xml:space="preserve"> lors d’événements ayant une probabilité de survenue de</w:t>
      </w:r>
      <w:r w:rsidR="001D586B" w:rsidRPr="002D0D60">
        <w:rPr>
          <w:lang w:val="fr-CH"/>
        </w:rPr>
        <w:t xml:space="preserve"> 10</w:t>
      </w:r>
      <w:r w:rsidR="001D586B" w:rsidRPr="002D0D60">
        <w:rPr>
          <w:vertAlign w:val="superscript"/>
          <w:lang w:val="fr-CH"/>
        </w:rPr>
        <w:t xml:space="preserve">-4 </w:t>
      </w:r>
      <w:r w:rsidR="00A064E4" w:rsidRPr="002D0D60">
        <w:rPr>
          <w:lang w:val="fr-CH"/>
        </w:rPr>
        <w:t>serait disproportionnée</w:t>
      </w:r>
      <w:r w:rsidR="005E351C" w:rsidRPr="002D0D60">
        <w:rPr>
          <w:rStyle w:val="Funotenzeichen"/>
          <w:lang w:val="fr-CH"/>
        </w:rPr>
        <w:footnoteReference w:id="21"/>
      </w:r>
      <w:r w:rsidR="001D586B" w:rsidRPr="002D0D60">
        <w:rPr>
          <w:lang w:val="fr-CH"/>
        </w:rPr>
        <w:t xml:space="preserve">. </w:t>
      </w:r>
      <w:r w:rsidR="005E257B" w:rsidRPr="002D0D60">
        <w:rPr>
          <w:lang w:val="fr-CH"/>
        </w:rPr>
        <w:t>Une telle</w:t>
      </w:r>
      <w:r w:rsidR="008B73C2" w:rsidRPr="002D0D60">
        <w:rPr>
          <w:lang w:val="fr-CH"/>
        </w:rPr>
        <w:t xml:space="preserve"> argumentation est</w:t>
      </w:r>
      <w:r w:rsidR="005E257B" w:rsidRPr="002D0D60">
        <w:rPr>
          <w:lang w:val="fr-CH"/>
        </w:rPr>
        <w:t xml:space="preserve"> extrêmement problématique. </w:t>
      </w:r>
      <w:r w:rsidR="00BF3EE8" w:rsidRPr="002D0D60">
        <w:rPr>
          <w:lang w:val="fr-CH"/>
        </w:rPr>
        <w:t>Son appréciation d</w:t>
      </w:r>
      <w:r w:rsidR="005E257B" w:rsidRPr="002D0D60">
        <w:rPr>
          <w:lang w:val="fr-CH"/>
        </w:rPr>
        <w:t xml:space="preserve">e l’argument de la proportionnalité </w:t>
      </w:r>
      <w:r w:rsidR="00BF3EE8" w:rsidRPr="002D0D60">
        <w:rPr>
          <w:lang w:val="fr-CH"/>
        </w:rPr>
        <w:t xml:space="preserve">reprend principalement le point de vue de l’exploitant. Elle suggère en quelque sorte qu’il existe des doses de </w:t>
      </w:r>
      <w:r w:rsidR="00E5036C" w:rsidRPr="002D0D60">
        <w:rPr>
          <w:lang w:val="fr-CH"/>
        </w:rPr>
        <w:t>radioactivité qui seraient inoffensives, ce qui est faux.</w:t>
      </w:r>
      <w:r w:rsidR="00191A5F" w:rsidRPr="002D0D60">
        <w:rPr>
          <w:lang w:val="fr-CH"/>
        </w:rPr>
        <w:t xml:space="preserve"> </w:t>
      </w:r>
    </w:p>
    <w:p w14:paraId="74F860F0" w14:textId="77777777" w:rsidR="001D6002" w:rsidRPr="002D0D60" w:rsidRDefault="001D6002" w:rsidP="00191A5F">
      <w:pPr>
        <w:rPr>
          <w:lang w:val="fr-CH"/>
        </w:rPr>
      </w:pPr>
    </w:p>
    <w:p w14:paraId="6FCCA571" w14:textId="3DCAE26F" w:rsidR="00F8305F" w:rsidRPr="002D0D60" w:rsidRDefault="000975C0" w:rsidP="00191A5F">
      <w:pPr>
        <w:rPr>
          <w:rFonts w:eastAsia="Times New Roman" w:cs="Times New Roman"/>
          <w:i/>
          <w:lang w:val="fr-CH"/>
        </w:rPr>
      </w:pPr>
      <w:r w:rsidRPr="002D0D60">
        <w:rPr>
          <w:lang w:val="fr-CH"/>
        </w:rPr>
        <w:t xml:space="preserve">La Division radioprotection de l’Office fédéral de la santé publique </w:t>
      </w:r>
      <w:r w:rsidR="003C3E37" w:rsidRPr="002D0D60">
        <w:rPr>
          <w:lang w:val="fr-CH"/>
        </w:rPr>
        <w:t xml:space="preserve">constate sur son site Internet : </w:t>
      </w:r>
      <w:r w:rsidR="006F2640" w:rsidRPr="002D0D60">
        <w:rPr>
          <w:i/>
          <w:lang w:val="fr-CH"/>
        </w:rPr>
        <w:t xml:space="preserve">« On n’a pas pu mettre en évidence un seuil à ces effets </w:t>
      </w:r>
      <w:r w:rsidR="001D6002" w:rsidRPr="002D0D60">
        <w:rPr>
          <w:rFonts w:eastAsia="Times New Roman" w:cs="Times New Roman"/>
          <w:i/>
          <w:lang w:val="fr-CH"/>
        </w:rPr>
        <w:t>[</w:t>
      </w:r>
      <w:r w:rsidR="00F20E39" w:rsidRPr="002D0D60">
        <w:rPr>
          <w:rFonts w:eastAsia="Times New Roman" w:cs="Times New Roman"/>
          <w:i/>
          <w:lang w:val="fr-CH"/>
        </w:rPr>
        <w:t>l’induction de cancer ainsi que l’induction de malformations dans la descendance des personnes irradiées</w:t>
      </w:r>
      <w:r w:rsidR="001D6002" w:rsidRPr="002D0D60">
        <w:rPr>
          <w:rFonts w:eastAsia="Times New Roman" w:cs="Times New Roman"/>
          <w:i/>
          <w:lang w:val="fr-CH"/>
        </w:rPr>
        <w:t>]</w:t>
      </w:r>
      <w:r w:rsidR="00F20E39" w:rsidRPr="002D0D60">
        <w:rPr>
          <w:rFonts w:eastAsia="Times New Roman" w:cs="Times New Roman"/>
          <w:i/>
          <w:lang w:val="fr-CH"/>
        </w:rPr>
        <w:t xml:space="preserve">, </w:t>
      </w:r>
      <w:r w:rsidR="0027463A" w:rsidRPr="002D0D60">
        <w:rPr>
          <w:rFonts w:eastAsia="Times New Roman" w:cs="Times New Roman"/>
          <w:i/>
          <w:lang w:val="fr-CH"/>
        </w:rPr>
        <w:t xml:space="preserve">c'est-à-dire qu’ils peuvent théoriquement intervenir même pour une dose très faible. » </w:t>
      </w:r>
      <w:r w:rsidR="0027463A" w:rsidRPr="002D0D60">
        <w:rPr>
          <w:rFonts w:eastAsia="Times New Roman" w:cs="Times New Roman"/>
          <w:lang w:val="fr-CH"/>
        </w:rPr>
        <w:t>Et</w:t>
      </w:r>
      <w:r w:rsidR="00AE679D" w:rsidRPr="002D0D60">
        <w:rPr>
          <w:rFonts w:eastAsia="Times New Roman" w:cs="Times New Roman"/>
          <w:lang w:val="fr-CH"/>
        </w:rPr>
        <w:t> :</w:t>
      </w:r>
      <w:r w:rsidR="0027463A" w:rsidRPr="002D0D60">
        <w:rPr>
          <w:rFonts w:eastAsia="Times New Roman" w:cs="Times New Roman"/>
          <w:i/>
          <w:lang w:val="fr-CH"/>
        </w:rPr>
        <w:t xml:space="preserve"> </w:t>
      </w:r>
      <w:r w:rsidR="0088195D" w:rsidRPr="002D0D60">
        <w:rPr>
          <w:rFonts w:eastAsia="Times New Roman" w:cs="Times New Roman"/>
          <w:i/>
          <w:lang w:val="fr-CH"/>
        </w:rPr>
        <w:t>« </w:t>
      </w:r>
      <w:r w:rsidR="00AE679D" w:rsidRPr="002D0D60">
        <w:rPr>
          <w:rFonts w:eastAsia="Times New Roman" w:cs="Times New Roman"/>
          <w:i/>
          <w:lang w:val="fr-CH"/>
        </w:rPr>
        <w:t>Pour protéger l’être humain contre les effets des radiations ionisantes, des limites de dose ont été fixées dans la législation suisse.</w:t>
      </w:r>
      <w:r w:rsidR="003274FE" w:rsidRPr="002D0D60">
        <w:rPr>
          <w:i/>
          <w:lang w:val="fr-CH"/>
        </w:rPr>
        <w:t xml:space="preserve"> E</w:t>
      </w:r>
      <w:r w:rsidR="003274FE" w:rsidRPr="002D0D60">
        <w:rPr>
          <w:rFonts w:eastAsia="Times New Roman" w:cs="Times New Roman"/>
          <w:i/>
          <w:lang w:val="fr-CH"/>
        </w:rPr>
        <w:t>lles garantissent d’une part qu’aucun effet immédiat n’intervienne et limitent d’autre part à un niveau acceptable la probabilité des effets à long terme. Les deux principales limites sont celle qui s’applique à la population en général, de 1 mSv par an, et celle qui concerne les travailleurs, de 20 mSv par an. »</w:t>
      </w:r>
      <w:r w:rsidR="00F8305F" w:rsidRPr="002D0D60">
        <w:rPr>
          <w:rStyle w:val="Funotenzeichen"/>
          <w:rFonts w:eastAsia="Times New Roman" w:cs="Times New Roman"/>
          <w:i/>
          <w:lang w:val="fr-CH"/>
        </w:rPr>
        <w:t xml:space="preserve"> </w:t>
      </w:r>
      <w:r w:rsidR="00F8305F" w:rsidRPr="002D0D60">
        <w:rPr>
          <w:rStyle w:val="Funotenzeichen"/>
          <w:rFonts w:eastAsia="Times New Roman" w:cs="Times New Roman"/>
          <w:i/>
          <w:lang w:val="fr-CH"/>
        </w:rPr>
        <w:footnoteReference w:id="22"/>
      </w:r>
    </w:p>
    <w:p w14:paraId="5DE95B0D" w14:textId="77777777" w:rsidR="00F8305F" w:rsidRPr="002D0D60" w:rsidRDefault="00F8305F" w:rsidP="00191A5F">
      <w:pPr>
        <w:rPr>
          <w:rFonts w:eastAsia="Times New Roman" w:cs="Times New Roman"/>
          <w:i/>
          <w:lang w:val="fr-CH"/>
        </w:rPr>
      </w:pPr>
    </w:p>
    <w:p w14:paraId="7A7BF860" w14:textId="379D9E96" w:rsidR="005E351C" w:rsidRPr="002D0D60" w:rsidRDefault="00427A46" w:rsidP="001D586B">
      <w:pPr>
        <w:rPr>
          <w:lang w:val="fr-CH"/>
        </w:rPr>
      </w:pPr>
      <w:r w:rsidRPr="002D0D60">
        <w:rPr>
          <w:rFonts w:eastAsia="Times New Roman" w:cs="Times New Roman"/>
          <w:lang w:val="fr-CH"/>
        </w:rPr>
        <w:t xml:space="preserve">Ces considérations de l’OFSP ne constituent pas une position isolée. L’Allemagne connaît également des valeurs limites de dose, et l’Office fédéral allemand de la radioprotection écrit ceci : </w:t>
      </w:r>
      <w:r w:rsidRPr="002D0D60">
        <w:rPr>
          <w:rFonts w:eastAsia="Times New Roman" w:cs="Times New Roman"/>
          <w:i/>
          <w:lang w:val="fr-CH"/>
        </w:rPr>
        <w:t xml:space="preserve">« Les valeurs limites de dose ne servent pas de délimitation entre une exposition radiologique dangereuse et une exposition radiologique </w:t>
      </w:r>
      <w:r w:rsidR="00745FF3">
        <w:rPr>
          <w:rFonts w:eastAsia="Times New Roman" w:cs="Times New Roman"/>
          <w:i/>
          <w:lang w:val="fr-CH"/>
        </w:rPr>
        <w:t xml:space="preserve">qui serait </w:t>
      </w:r>
      <w:r w:rsidRPr="002D0D60">
        <w:rPr>
          <w:rFonts w:eastAsia="Times New Roman" w:cs="Times New Roman"/>
          <w:i/>
          <w:lang w:val="fr-CH"/>
        </w:rPr>
        <w:t xml:space="preserve">inoffensive. Le dépassement d’une valeur limite </w:t>
      </w:r>
      <w:r w:rsidR="00C631A5" w:rsidRPr="002D0D60">
        <w:rPr>
          <w:i/>
          <w:lang w:val="fr-CH"/>
        </w:rPr>
        <w:t xml:space="preserve">signifie au contraire que la probabilité de survenue de conséquences sanitaires (en particulier de </w:t>
      </w:r>
      <w:r w:rsidR="008807B8" w:rsidRPr="002D0D60">
        <w:rPr>
          <w:i/>
          <w:lang w:val="fr-CH"/>
        </w:rPr>
        <w:t>maladies cancéreuses)</w:t>
      </w:r>
      <w:r w:rsidR="00B64971" w:rsidRPr="002D0D60">
        <w:rPr>
          <w:i/>
          <w:lang w:val="fr-CH"/>
        </w:rPr>
        <w:t xml:space="preserve"> est supérieure au niveau considéré comme admissible »</w:t>
      </w:r>
      <w:r w:rsidR="00191A5F" w:rsidRPr="002D0D60">
        <w:rPr>
          <w:i/>
          <w:lang w:val="fr-CH"/>
        </w:rPr>
        <w:t>.</w:t>
      </w:r>
      <w:r w:rsidR="00191A5F" w:rsidRPr="002D0D60">
        <w:rPr>
          <w:rStyle w:val="Funotenzeichen"/>
          <w:i/>
          <w:lang w:val="fr-CH"/>
        </w:rPr>
        <w:footnoteReference w:id="23"/>
      </w:r>
    </w:p>
    <w:p w14:paraId="6A7BCC2A" w14:textId="77777777" w:rsidR="00F8305F" w:rsidRPr="002D0D60" w:rsidRDefault="00F8305F" w:rsidP="001D586B">
      <w:pPr>
        <w:rPr>
          <w:lang w:val="fr-CH"/>
        </w:rPr>
      </w:pPr>
    </w:p>
    <w:p w14:paraId="6058B081" w14:textId="45297934" w:rsidR="00BB2BD9" w:rsidRPr="002D0D60" w:rsidRDefault="00317034" w:rsidP="001D586B">
      <w:pPr>
        <w:rPr>
          <w:lang w:val="fr-CH"/>
        </w:rPr>
      </w:pPr>
      <w:r w:rsidRPr="002D0D60">
        <w:rPr>
          <w:lang w:val="fr-CH"/>
        </w:rPr>
        <w:t xml:space="preserve">Il est important de se rendre compte de la portée de cette nouvelle et unique valeur limite de </w:t>
      </w:r>
      <w:r w:rsidR="00C43339" w:rsidRPr="002D0D60">
        <w:rPr>
          <w:lang w:val="fr-CH"/>
        </w:rPr>
        <w:t>100 mSv</w:t>
      </w:r>
      <w:r w:rsidR="001D6002" w:rsidRPr="002D0D60">
        <w:rPr>
          <w:lang w:val="fr-CH"/>
        </w:rPr>
        <w:t xml:space="preserve"> </w:t>
      </w:r>
      <w:r w:rsidRPr="002D0D60">
        <w:rPr>
          <w:lang w:val="fr-CH"/>
        </w:rPr>
        <w:t>pour la mise hors service : la mise hors service ne serait donc obligatoire que s’il est prouvé qu’un accident qui doit en principe être maîtrisé par l’installation (</w:t>
      </w:r>
      <w:r w:rsidR="00624F0C" w:rsidRPr="002D0D60">
        <w:rPr>
          <w:lang w:val="fr-CH"/>
        </w:rPr>
        <w:t xml:space="preserve">défaillance dans le cadre des règles de dimensionnement) produit un dégagement radioactif </w:t>
      </w:r>
      <w:r w:rsidR="00624F0C" w:rsidRPr="002D0D60">
        <w:rPr>
          <w:i/>
          <w:lang w:val="fr-CH"/>
        </w:rPr>
        <w:t>100 fois plus élevé</w:t>
      </w:r>
      <w:r w:rsidR="00624F0C" w:rsidRPr="002D0D60">
        <w:rPr>
          <w:lang w:val="fr-CH"/>
        </w:rPr>
        <w:t xml:space="preserve"> que le niveau défini comme admissible pour la population ! Du point de vue de la protection de la population, une telle disproportion ne se justifierait que pour les événements très improbables. Comme c’est le cas dans la législation actuellement en vigueur</w:t>
      </w:r>
      <w:r w:rsidR="009B6AAC" w:rsidRPr="002D0D60">
        <w:rPr>
          <w:lang w:val="fr-CH"/>
        </w:rPr>
        <w:t>.</w:t>
      </w:r>
    </w:p>
    <w:p w14:paraId="007149CE" w14:textId="77777777" w:rsidR="00F8305F" w:rsidRPr="002D0D60" w:rsidRDefault="00F8305F" w:rsidP="001D586B">
      <w:pPr>
        <w:rPr>
          <w:lang w:val="fr-CH"/>
        </w:rPr>
      </w:pPr>
    </w:p>
    <w:p w14:paraId="5F18674C" w14:textId="03B18443" w:rsidR="001D586B" w:rsidRPr="002D0D60" w:rsidRDefault="00AD4CBE" w:rsidP="001D586B">
      <w:pPr>
        <w:rPr>
          <w:lang w:val="fr-CH"/>
        </w:rPr>
      </w:pPr>
      <w:r w:rsidRPr="002D0D60">
        <w:rPr>
          <w:lang w:val="fr-CH"/>
        </w:rPr>
        <w:lastRenderedPageBreak/>
        <w:t xml:space="preserve">La valeur </w:t>
      </w:r>
      <w:r w:rsidR="001E09AD">
        <w:rPr>
          <w:lang w:val="fr-CH"/>
        </w:rPr>
        <w:t xml:space="preserve">limite </w:t>
      </w:r>
      <w:r w:rsidRPr="002D0D60">
        <w:rPr>
          <w:lang w:val="fr-CH"/>
        </w:rPr>
        <w:t xml:space="preserve">de 100 mSv que la révision propose </w:t>
      </w:r>
      <w:r w:rsidR="002224BA" w:rsidRPr="002D0D60">
        <w:rPr>
          <w:lang w:val="fr-CH"/>
        </w:rPr>
        <w:t xml:space="preserve">de garder comme unique critère de </w:t>
      </w:r>
      <w:r w:rsidR="002224BA" w:rsidRPr="002D0D60">
        <w:rPr>
          <w:i/>
          <w:lang w:val="fr-CH"/>
        </w:rPr>
        <w:t>prévention des accidents de dimensionnement</w:t>
      </w:r>
      <w:r w:rsidR="009B6AAC" w:rsidRPr="002D0D60">
        <w:rPr>
          <w:i/>
          <w:lang w:val="fr-CH"/>
        </w:rPr>
        <w:t xml:space="preserve"> </w:t>
      </w:r>
      <w:r w:rsidR="002224BA" w:rsidRPr="002D0D60">
        <w:rPr>
          <w:lang w:val="fr-CH"/>
        </w:rPr>
        <w:t xml:space="preserve">entre également en contradiction avec les dispositions </w:t>
      </w:r>
      <w:r w:rsidR="00702328" w:rsidRPr="002D0D60">
        <w:rPr>
          <w:lang w:val="fr-CH"/>
        </w:rPr>
        <w:t xml:space="preserve">que la Confédération prévoit au titre </w:t>
      </w:r>
      <w:r w:rsidR="002224BA" w:rsidRPr="002D0D60">
        <w:rPr>
          <w:lang w:val="fr-CH"/>
        </w:rPr>
        <w:t xml:space="preserve">de </w:t>
      </w:r>
      <w:r w:rsidR="00702328" w:rsidRPr="002D0D60">
        <w:rPr>
          <w:lang w:val="fr-CH"/>
        </w:rPr>
        <w:t>protection en cas d'urgence</w:t>
      </w:r>
      <w:r w:rsidR="00D96446" w:rsidRPr="002D0D60">
        <w:rPr>
          <w:lang w:val="fr-CH"/>
        </w:rPr>
        <w:t xml:space="preserve"> </w:t>
      </w:r>
      <w:r w:rsidR="009B6AAC" w:rsidRPr="002D0D60">
        <w:rPr>
          <w:lang w:val="fr-CH"/>
        </w:rPr>
        <w:t>(</w:t>
      </w:r>
      <w:r w:rsidR="00702328" w:rsidRPr="002D0D60">
        <w:rPr>
          <w:i/>
          <w:lang w:val="fr-CH"/>
        </w:rPr>
        <w:t>réparation</w:t>
      </w:r>
      <w:r w:rsidR="009B6AAC" w:rsidRPr="002D0D60">
        <w:rPr>
          <w:lang w:val="fr-CH"/>
        </w:rPr>
        <w:t xml:space="preserve">) </w:t>
      </w:r>
      <w:r w:rsidR="002F3365">
        <w:rPr>
          <w:lang w:val="fr-CH"/>
        </w:rPr>
        <w:t>lors d’un</w:t>
      </w:r>
      <w:r w:rsidR="00702328" w:rsidRPr="002D0D60">
        <w:rPr>
          <w:lang w:val="fr-CH"/>
        </w:rPr>
        <w:t xml:space="preserve"> cas d’accident hors dimensionnement :</w:t>
      </w:r>
    </w:p>
    <w:p w14:paraId="46074A71" w14:textId="77777777" w:rsidR="001D586B" w:rsidRPr="002D0D60" w:rsidRDefault="001D586B" w:rsidP="001D586B">
      <w:pPr>
        <w:rPr>
          <w:lang w:val="fr-CH"/>
        </w:rPr>
      </w:pPr>
    </w:p>
    <w:p w14:paraId="6C41D05B" w14:textId="50DB4504" w:rsidR="009A39EA" w:rsidRPr="002D0D60" w:rsidRDefault="00702328" w:rsidP="00C43339">
      <w:pPr>
        <w:pStyle w:val="KeinLeerraum"/>
        <w:numPr>
          <w:ilvl w:val="0"/>
          <w:numId w:val="11"/>
        </w:numPr>
        <w:rPr>
          <w:sz w:val="22"/>
          <w:lang w:val="fr-CH"/>
        </w:rPr>
      </w:pPr>
      <w:r w:rsidRPr="002D0D60">
        <w:rPr>
          <w:sz w:val="22"/>
          <w:lang w:val="fr-CH"/>
        </w:rPr>
        <w:t xml:space="preserve">L’ordonnance sur l’organisation des interventions en cas d'événement ABC et d'événement naturel </w:t>
      </w:r>
      <w:r w:rsidR="009847A2" w:rsidRPr="002D0D60">
        <w:rPr>
          <w:sz w:val="22"/>
          <w:lang w:val="fr-CH"/>
        </w:rPr>
        <w:t xml:space="preserve">prévoit les </w:t>
      </w:r>
      <w:r w:rsidR="001E09AD">
        <w:rPr>
          <w:sz w:val="22"/>
          <w:lang w:val="fr-CH"/>
        </w:rPr>
        <w:t>limites</w:t>
      </w:r>
      <w:r w:rsidR="009847A2" w:rsidRPr="002D0D60">
        <w:rPr>
          <w:sz w:val="22"/>
          <w:lang w:val="fr-CH"/>
        </w:rPr>
        <w:t xml:space="preserve"> de dose suivant</w:t>
      </w:r>
      <w:r w:rsidR="001E09AD">
        <w:rPr>
          <w:sz w:val="22"/>
          <w:lang w:val="fr-CH"/>
        </w:rPr>
        <w:t>e</w:t>
      </w:r>
      <w:r w:rsidR="009847A2" w:rsidRPr="002D0D60">
        <w:rPr>
          <w:sz w:val="22"/>
          <w:lang w:val="fr-CH"/>
        </w:rPr>
        <w:t>s :</w:t>
      </w:r>
    </w:p>
    <w:p w14:paraId="52D2C1BE" w14:textId="39AC92CE" w:rsidR="009A39EA" w:rsidRPr="002D0D60" w:rsidRDefault="00F81E35" w:rsidP="00C43339">
      <w:pPr>
        <w:pStyle w:val="KeinLeerraum"/>
        <w:numPr>
          <w:ilvl w:val="0"/>
          <w:numId w:val="23"/>
        </w:numPr>
        <w:rPr>
          <w:sz w:val="22"/>
          <w:lang w:val="fr-CH"/>
        </w:rPr>
      </w:pPr>
      <w:r w:rsidRPr="002D0D60">
        <w:rPr>
          <w:sz w:val="22"/>
          <w:lang w:val="fr-CH"/>
        </w:rPr>
        <w:t>Séjour dans la maison pour les enfants, adolescents et femmes enceintes :</w:t>
      </w:r>
      <w:r w:rsidR="009A39EA" w:rsidRPr="002D0D60">
        <w:rPr>
          <w:sz w:val="22"/>
          <w:lang w:val="fr-CH"/>
        </w:rPr>
        <w:t xml:space="preserve"> 1 mSv</w:t>
      </w:r>
    </w:p>
    <w:p w14:paraId="37101829" w14:textId="40EDDB1B" w:rsidR="009A39EA" w:rsidRPr="002D0D60" w:rsidRDefault="00A5433B" w:rsidP="00C43339">
      <w:pPr>
        <w:pStyle w:val="KeinLeerraum"/>
        <w:numPr>
          <w:ilvl w:val="0"/>
          <w:numId w:val="23"/>
        </w:numPr>
        <w:rPr>
          <w:sz w:val="22"/>
          <w:lang w:val="fr-CH"/>
        </w:rPr>
      </w:pPr>
      <w:r w:rsidRPr="002D0D60">
        <w:rPr>
          <w:sz w:val="22"/>
          <w:lang w:val="fr-CH"/>
        </w:rPr>
        <w:t xml:space="preserve">Séjour protégé </w:t>
      </w:r>
      <w:r w:rsidR="00960F1A" w:rsidRPr="002D0D60">
        <w:rPr>
          <w:sz w:val="22"/>
          <w:lang w:val="fr-CH"/>
        </w:rPr>
        <w:t>(dans la maison, la cave ou l'abri) :</w:t>
      </w:r>
      <w:r w:rsidR="009A39EA" w:rsidRPr="002D0D60">
        <w:rPr>
          <w:sz w:val="22"/>
          <w:lang w:val="fr-CH"/>
        </w:rPr>
        <w:t xml:space="preserve"> 10 mSv</w:t>
      </w:r>
    </w:p>
    <w:p w14:paraId="298FDCAA" w14:textId="5EC7F95D" w:rsidR="006C46F6" w:rsidRPr="002D0D60" w:rsidRDefault="00A5433B" w:rsidP="00C43339">
      <w:pPr>
        <w:pStyle w:val="KeinLeerraum"/>
        <w:numPr>
          <w:ilvl w:val="0"/>
          <w:numId w:val="23"/>
        </w:numPr>
        <w:rPr>
          <w:sz w:val="22"/>
          <w:lang w:val="fr-CH"/>
        </w:rPr>
      </w:pPr>
      <w:r w:rsidRPr="002D0D60">
        <w:rPr>
          <w:sz w:val="22"/>
          <w:lang w:val="fr-CH"/>
        </w:rPr>
        <w:t>Evacuation à titre préventif ou séjour protégé :</w:t>
      </w:r>
      <w:r w:rsidR="009A39EA" w:rsidRPr="002D0D60">
        <w:rPr>
          <w:sz w:val="22"/>
          <w:lang w:val="fr-CH"/>
        </w:rPr>
        <w:t xml:space="preserve"> 100 mSv</w:t>
      </w:r>
    </w:p>
    <w:p w14:paraId="0BB6F887" w14:textId="7B6A2104" w:rsidR="009B03D9" w:rsidRPr="002D0D60" w:rsidRDefault="001E09AD" w:rsidP="00C43339">
      <w:pPr>
        <w:pStyle w:val="KeinLeerraum"/>
        <w:numPr>
          <w:ilvl w:val="0"/>
          <w:numId w:val="23"/>
        </w:numPr>
        <w:rPr>
          <w:sz w:val="22"/>
          <w:lang w:val="fr-CH"/>
        </w:rPr>
      </w:pPr>
      <w:r>
        <w:rPr>
          <w:sz w:val="22"/>
          <w:lang w:val="fr-CH"/>
        </w:rPr>
        <w:t xml:space="preserve">Il faut préciser que ces valeurs limites </w:t>
      </w:r>
      <w:r w:rsidR="00844192">
        <w:rPr>
          <w:sz w:val="22"/>
          <w:lang w:val="fr-CH"/>
        </w:rPr>
        <w:t xml:space="preserve">se basent sur </w:t>
      </w:r>
      <w:r>
        <w:rPr>
          <w:sz w:val="22"/>
          <w:lang w:val="fr-CH"/>
        </w:rPr>
        <w:t>un</w:t>
      </w:r>
      <w:r w:rsidR="003F4ADD" w:rsidRPr="002D0D60">
        <w:rPr>
          <w:sz w:val="22"/>
          <w:lang w:val="fr-CH"/>
        </w:rPr>
        <w:t xml:space="preserve"> temps d’intégration</w:t>
      </w:r>
      <w:r w:rsidR="009A39EA" w:rsidRPr="002D0D60">
        <w:rPr>
          <w:sz w:val="22"/>
          <w:lang w:val="fr-CH"/>
        </w:rPr>
        <w:t xml:space="preserve"> </w:t>
      </w:r>
      <w:r w:rsidR="003F4ADD" w:rsidRPr="002D0D60">
        <w:rPr>
          <w:sz w:val="22"/>
          <w:lang w:val="fr-CH"/>
        </w:rPr>
        <w:t>qui est de 2 jours,</w:t>
      </w:r>
      <w:r>
        <w:rPr>
          <w:sz w:val="22"/>
          <w:lang w:val="fr-CH"/>
        </w:rPr>
        <w:t xml:space="preserve"> donc une durée infime en comparaison avec la dose limite applicable dans le cadre de la prévention d’un accident</w:t>
      </w:r>
      <w:r w:rsidR="00635771" w:rsidRPr="002D0D60">
        <w:rPr>
          <w:sz w:val="22"/>
          <w:lang w:val="fr-CH"/>
        </w:rPr>
        <w:t>.</w:t>
      </w:r>
    </w:p>
    <w:p w14:paraId="46AA2FF3" w14:textId="3D26F440" w:rsidR="00311884" w:rsidRPr="002D0D60" w:rsidRDefault="00672E58" w:rsidP="00311884">
      <w:pPr>
        <w:pStyle w:val="KeinLeerraum"/>
        <w:numPr>
          <w:ilvl w:val="0"/>
          <w:numId w:val="11"/>
        </w:numPr>
        <w:rPr>
          <w:sz w:val="22"/>
          <w:lang w:val="fr-CH"/>
        </w:rPr>
      </w:pPr>
      <w:r w:rsidRPr="002D0D60">
        <w:rPr>
          <w:sz w:val="22"/>
          <w:lang w:val="fr-CH"/>
        </w:rPr>
        <w:t>Par ailleurs, le catalogue de mesures prévues par le C</w:t>
      </w:r>
      <w:r w:rsidR="004A6FF9" w:rsidRPr="002D0D60">
        <w:rPr>
          <w:sz w:val="22"/>
          <w:lang w:val="fr-CH"/>
        </w:rPr>
        <w:t>oncept des mesures à prendre en fon</w:t>
      </w:r>
      <w:r w:rsidRPr="002D0D60">
        <w:rPr>
          <w:sz w:val="22"/>
          <w:lang w:val="fr-CH"/>
        </w:rPr>
        <w:t xml:space="preserve">ction des doses comprend </w:t>
      </w:r>
      <w:r w:rsidR="000045B2" w:rsidRPr="002D0D60">
        <w:rPr>
          <w:sz w:val="22"/>
          <w:lang w:val="fr-CH"/>
        </w:rPr>
        <w:t xml:space="preserve">un relogement dans le cas où, trois mois après l’événement, il faut s’attendre pour l’année suivante </w:t>
      </w:r>
      <w:r w:rsidR="00CF205A" w:rsidRPr="002D0D60">
        <w:rPr>
          <w:sz w:val="22"/>
          <w:lang w:val="fr-CH"/>
        </w:rPr>
        <w:t xml:space="preserve">à une dose de </w:t>
      </w:r>
      <w:r w:rsidR="00265519" w:rsidRPr="002D0D60">
        <w:rPr>
          <w:sz w:val="22"/>
          <w:lang w:val="fr-CH"/>
        </w:rPr>
        <w:t>&gt; 20 mSv</w:t>
      </w:r>
      <w:r w:rsidR="00311884" w:rsidRPr="002D0D60">
        <w:rPr>
          <w:rStyle w:val="Funotenzeichen"/>
          <w:sz w:val="22"/>
          <w:lang w:val="fr-CH"/>
        </w:rPr>
        <w:footnoteReference w:id="24"/>
      </w:r>
      <w:r w:rsidR="00A81DC4" w:rsidRPr="002D0D60">
        <w:rPr>
          <w:sz w:val="22"/>
          <w:lang w:val="fr-CH"/>
        </w:rPr>
        <w:t>.</w:t>
      </w:r>
    </w:p>
    <w:p w14:paraId="0A334FBA" w14:textId="5EC6BFD8" w:rsidR="001D586B" w:rsidRPr="002D0D60" w:rsidRDefault="00862CE2" w:rsidP="001D586B">
      <w:pPr>
        <w:pStyle w:val="KeinLeerraum"/>
        <w:numPr>
          <w:ilvl w:val="0"/>
          <w:numId w:val="11"/>
        </w:numPr>
        <w:rPr>
          <w:sz w:val="22"/>
          <w:lang w:val="fr-CH"/>
        </w:rPr>
      </w:pPr>
      <w:r>
        <w:rPr>
          <w:sz w:val="22"/>
          <w:lang w:val="fr-CH"/>
        </w:rPr>
        <w:t>Selon</w:t>
      </w:r>
      <w:r w:rsidR="0016076A">
        <w:rPr>
          <w:sz w:val="22"/>
          <w:lang w:val="fr-CH"/>
        </w:rPr>
        <w:t xml:space="preserve"> </w:t>
      </w:r>
      <w:r>
        <w:rPr>
          <w:sz w:val="22"/>
          <w:lang w:val="fr-CH"/>
        </w:rPr>
        <w:t>l’ordonnance sur les comprimés d’iode</w:t>
      </w:r>
      <w:r w:rsidR="0016076A">
        <w:rPr>
          <w:sz w:val="22"/>
          <w:lang w:val="fr-CH"/>
        </w:rPr>
        <w:t xml:space="preserve">, </w:t>
      </w:r>
      <w:r w:rsidR="00265519" w:rsidRPr="002D0D60">
        <w:rPr>
          <w:sz w:val="22"/>
          <w:lang w:val="fr-CH"/>
        </w:rPr>
        <w:t xml:space="preserve">à partir d’une dose </w:t>
      </w:r>
      <w:r>
        <w:rPr>
          <w:sz w:val="22"/>
          <w:lang w:val="fr-CH"/>
        </w:rPr>
        <w:t xml:space="preserve">effective </w:t>
      </w:r>
      <w:r w:rsidR="00265519" w:rsidRPr="002D0D60">
        <w:rPr>
          <w:sz w:val="22"/>
          <w:lang w:val="fr-CH"/>
        </w:rPr>
        <w:t xml:space="preserve">de </w:t>
      </w:r>
      <w:r>
        <w:rPr>
          <w:sz w:val="22"/>
          <w:lang w:val="fr-CH"/>
        </w:rPr>
        <w:t>2</w:t>
      </w:r>
      <w:r w:rsidR="00265519" w:rsidRPr="002D0D60">
        <w:rPr>
          <w:sz w:val="22"/>
          <w:lang w:val="fr-CH"/>
        </w:rPr>
        <w:t> </w:t>
      </w:r>
      <w:r w:rsidR="00311884" w:rsidRPr="002D0D60">
        <w:rPr>
          <w:sz w:val="22"/>
          <w:lang w:val="fr-CH"/>
        </w:rPr>
        <w:t>mSv</w:t>
      </w:r>
      <w:r>
        <w:rPr>
          <w:sz w:val="22"/>
          <w:lang w:val="fr-CH"/>
        </w:rPr>
        <w:t xml:space="preserve"> en deux jours</w:t>
      </w:r>
      <w:r w:rsidR="00265519" w:rsidRPr="002D0D60">
        <w:rPr>
          <w:sz w:val="22"/>
          <w:lang w:val="fr-CH"/>
        </w:rPr>
        <w:t xml:space="preserve">, il est indiqué de prendre des </w:t>
      </w:r>
      <w:r w:rsidR="00A81DC4" w:rsidRPr="002D0D60">
        <w:rPr>
          <w:sz w:val="22"/>
          <w:lang w:val="fr-CH"/>
        </w:rPr>
        <w:t>comprimés d’iode</w:t>
      </w:r>
      <w:r w:rsidR="006C46F6" w:rsidRPr="002D0D60">
        <w:rPr>
          <w:rStyle w:val="Funotenzeichen"/>
          <w:sz w:val="22"/>
          <w:lang w:val="fr-CH"/>
        </w:rPr>
        <w:footnoteReference w:id="25"/>
      </w:r>
      <w:r w:rsidR="006C46F6" w:rsidRPr="002D0D60">
        <w:rPr>
          <w:sz w:val="22"/>
          <w:lang w:val="fr-CH"/>
        </w:rPr>
        <w:t>.</w:t>
      </w:r>
    </w:p>
    <w:p w14:paraId="77C7D2BD" w14:textId="77777777" w:rsidR="00CD615B" w:rsidRPr="002D0D60" w:rsidRDefault="00CD615B" w:rsidP="009B6AAC">
      <w:pPr>
        <w:rPr>
          <w:lang w:val="fr-CH"/>
        </w:rPr>
      </w:pPr>
    </w:p>
    <w:p w14:paraId="23CB98CF" w14:textId="5E11760A" w:rsidR="00CD615B" w:rsidRPr="002D0D60" w:rsidRDefault="00A81DC4" w:rsidP="009B6AAC">
      <w:pPr>
        <w:rPr>
          <w:lang w:val="fr-CH"/>
        </w:rPr>
      </w:pPr>
      <w:r w:rsidRPr="002D0D60">
        <w:rPr>
          <w:lang w:val="fr-CH"/>
        </w:rPr>
        <w:t xml:space="preserve">Selon cette ordonnance, dans la situation exceptionnelle d’un accident hors dimensionnement, la population doit être protégée par des mesures dès que la dose de </w:t>
      </w:r>
      <w:r w:rsidR="00CD615B" w:rsidRPr="002D0D60">
        <w:rPr>
          <w:lang w:val="fr-CH"/>
        </w:rPr>
        <w:t xml:space="preserve">1 mSv </w:t>
      </w:r>
      <w:r w:rsidRPr="002D0D60">
        <w:rPr>
          <w:lang w:val="fr-CH"/>
        </w:rPr>
        <w:t xml:space="preserve">est atteinte. En cas d’accident </w:t>
      </w:r>
      <w:r w:rsidR="00844192">
        <w:rPr>
          <w:lang w:val="fr-CH"/>
        </w:rPr>
        <w:t xml:space="preserve">qui n’a pas pour origine, ou du moins par uniquement, </w:t>
      </w:r>
      <w:r w:rsidRPr="002D0D60">
        <w:rPr>
          <w:lang w:val="fr-CH"/>
        </w:rPr>
        <w:t>une défaill</w:t>
      </w:r>
      <w:r w:rsidR="00844192">
        <w:rPr>
          <w:lang w:val="fr-CH"/>
        </w:rPr>
        <w:t>ance du refroidissement du cœur, la CN</w:t>
      </w:r>
      <w:r w:rsidR="00407F55">
        <w:rPr>
          <w:lang w:val="fr-CH"/>
        </w:rPr>
        <w:t xml:space="preserve"> reste en exploitation avec 100 mSv et plus</w:t>
      </w:r>
      <w:r w:rsidRPr="002D0D60">
        <w:rPr>
          <w:lang w:val="fr-CH"/>
        </w:rPr>
        <w:t xml:space="preserve">, ce qui déclenchera </w:t>
      </w:r>
      <w:r w:rsidR="0016076A">
        <w:rPr>
          <w:lang w:val="fr-CH"/>
        </w:rPr>
        <w:t>des</w:t>
      </w:r>
      <w:r w:rsidRPr="002D0D60">
        <w:rPr>
          <w:lang w:val="fr-CH"/>
        </w:rPr>
        <w:t xml:space="preserve"> mesures de protection en cas d’urgence, en principe </w:t>
      </w:r>
      <w:r w:rsidR="00407F55" w:rsidRPr="002D0D60">
        <w:rPr>
          <w:lang w:val="fr-CH"/>
        </w:rPr>
        <w:t xml:space="preserve">uniquement </w:t>
      </w:r>
      <w:r w:rsidRPr="002D0D60">
        <w:rPr>
          <w:lang w:val="fr-CH"/>
        </w:rPr>
        <w:t>prévues pour les situations exceptionnelles</w:t>
      </w:r>
      <w:bookmarkStart w:id="24" w:name="_Ref505864857"/>
      <w:r w:rsidRPr="002D0D60">
        <w:rPr>
          <w:lang w:val="fr-CH"/>
        </w:rPr>
        <w:t xml:space="preserve">. Selon ces mesures de protection, il est </w:t>
      </w:r>
      <w:r w:rsidR="00EA7594" w:rsidRPr="002D0D60">
        <w:rPr>
          <w:lang w:val="fr-CH"/>
        </w:rPr>
        <w:t>considéré comme proportionnel, à partir d’une dose de 1 mSv,</w:t>
      </w:r>
      <w:r w:rsidRPr="002D0D60">
        <w:rPr>
          <w:lang w:val="fr-CH"/>
        </w:rPr>
        <w:t xml:space="preserve"> d’imposer à la population des mesur</w:t>
      </w:r>
      <w:r w:rsidR="00EA7594" w:rsidRPr="002D0D60">
        <w:rPr>
          <w:lang w:val="fr-CH"/>
        </w:rPr>
        <w:t>es de restriction de la liberté, voire un relogement. Par contre, pour la mise hors service (provisoire !) d’une CN, la révision propose un seuil de proportionnalité de plus de</w:t>
      </w:r>
      <w:r w:rsidR="00CD615B" w:rsidRPr="002D0D60">
        <w:rPr>
          <w:lang w:val="fr-CH"/>
        </w:rPr>
        <w:t xml:space="preserve"> 100 mSv</w:t>
      </w:r>
      <w:r w:rsidR="00EA7594" w:rsidRPr="002D0D60">
        <w:rPr>
          <w:lang w:val="fr-CH"/>
        </w:rPr>
        <w:t xml:space="preserve">. </w:t>
      </w:r>
      <w:r w:rsidR="00605C2B" w:rsidRPr="002D0D60">
        <w:rPr>
          <w:lang w:val="fr-CH"/>
        </w:rPr>
        <w:t xml:space="preserve">Dans des cas extrêmes, la population devra </w:t>
      </w:r>
      <w:r w:rsidR="001172AF">
        <w:rPr>
          <w:lang w:val="fr-CH"/>
        </w:rPr>
        <w:t xml:space="preserve">donc </w:t>
      </w:r>
      <w:r w:rsidR="00605C2B" w:rsidRPr="002D0D60">
        <w:rPr>
          <w:lang w:val="fr-CH"/>
        </w:rPr>
        <w:t xml:space="preserve">rester à la maison, tandis que la CN pourra continuer de fonctionner ! Le principe de proportionnalité sur lequel se fonde le Conseil fédéral est </w:t>
      </w:r>
      <w:r w:rsidR="00C15963" w:rsidRPr="002D0D60">
        <w:rPr>
          <w:lang w:val="fr-CH"/>
        </w:rPr>
        <w:t>ici complètement inversé.</w:t>
      </w:r>
      <w:bookmarkEnd w:id="24"/>
      <w:r w:rsidR="00C15963" w:rsidRPr="002D0D60">
        <w:rPr>
          <w:lang w:val="fr-CH"/>
        </w:rPr>
        <w:t xml:space="preserve"> Par définition, la mise en œuvre du respect des valeurs limite de dose fixées par l’ordonnance sur la radioprotection en cas d’accident de dimensionnement ne peut jamais être disproportionnée</w:t>
      </w:r>
      <w:r w:rsidR="005D64FC" w:rsidRPr="002D0D60">
        <w:rPr>
          <w:lang w:val="fr-CH"/>
        </w:rPr>
        <w:t>.</w:t>
      </w:r>
    </w:p>
    <w:p w14:paraId="231E9553" w14:textId="28F0FAE4" w:rsidR="007D6CA3" w:rsidRPr="002D0D60" w:rsidRDefault="007D6CA3" w:rsidP="009B6AAC">
      <w:pPr>
        <w:rPr>
          <w:lang w:val="fr-CH"/>
        </w:rPr>
      </w:pPr>
    </w:p>
    <w:p w14:paraId="057630A3" w14:textId="52B1CE96" w:rsidR="00EA0203" w:rsidRPr="002D0D60" w:rsidRDefault="001172AF" w:rsidP="006C46F6">
      <w:pPr>
        <w:rPr>
          <w:lang w:val="fr-CH"/>
        </w:rPr>
      </w:pPr>
      <w:r>
        <w:rPr>
          <w:lang w:val="fr-CH"/>
        </w:rPr>
        <w:lastRenderedPageBreak/>
        <w:t>Une</w:t>
      </w:r>
      <w:r w:rsidR="00810432" w:rsidRPr="002D0D60">
        <w:rPr>
          <w:lang w:val="fr-CH"/>
        </w:rPr>
        <w:t xml:space="preserve"> comparaison avec d’autres installations nucléaires indique également que la valeur proposée est beaucoup trop élevée. </w:t>
      </w:r>
      <w:r w:rsidR="007700D1" w:rsidRPr="002D0D60">
        <w:rPr>
          <w:lang w:val="fr-CH"/>
        </w:rPr>
        <w:t xml:space="preserve">En matière de sécurité </w:t>
      </w:r>
      <w:r w:rsidR="0090574C">
        <w:rPr>
          <w:lang w:val="fr-CH"/>
        </w:rPr>
        <w:t>pour les</w:t>
      </w:r>
      <w:r w:rsidR="007700D1" w:rsidRPr="002D0D60">
        <w:rPr>
          <w:lang w:val="fr-CH"/>
        </w:rPr>
        <w:t xml:space="preserve"> projets de dépôts en couches géologiques profondes pour déchets radioactifs, le dimensionnement prévoit ainsi un objectif de protection de </w:t>
      </w:r>
      <w:r w:rsidR="009B6AAC" w:rsidRPr="002D0D60">
        <w:rPr>
          <w:lang w:val="fr-CH"/>
        </w:rPr>
        <w:t xml:space="preserve">0.1 mSv </w:t>
      </w:r>
      <w:r w:rsidR="00810432" w:rsidRPr="002D0D60">
        <w:rPr>
          <w:lang w:val="fr-CH"/>
        </w:rPr>
        <w:t>par année</w:t>
      </w:r>
      <w:r w:rsidR="00EA0203" w:rsidRPr="002D0D60">
        <w:rPr>
          <w:vertAlign w:val="superscript"/>
          <w:lang w:val="fr-CH"/>
        </w:rPr>
        <w:footnoteReference w:id="26"/>
      </w:r>
      <w:r w:rsidR="009B6AAC" w:rsidRPr="002D0D60">
        <w:rPr>
          <w:lang w:val="fr-CH"/>
        </w:rPr>
        <w:t>.</w:t>
      </w:r>
    </w:p>
    <w:p w14:paraId="2B85DC14" w14:textId="77777777" w:rsidR="00FE3FDC" w:rsidRPr="002D0D60" w:rsidRDefault="00FE3FDC" w:rsidP="006C46F6">
      <w:pPr>
        <w:rPr>
          <w:lang w:val="fr-CH"/>
        </w:rPr>
      </w:pPr>
    </w:p>
    <w:p w14:paraId="4958AF73" w14:textId="1CACF2CF" w:rsidR="00FE3FDC" w:rsidRPr="002D0D60" w:rsidRDefault="00883EFD" w:rsidP="006C46F6">
      <w:pPr>
        <w:rPr>
          <w:lang w:val="fr-CH"/>
        </w:rPr>
      </w:pPr>
      <w:r w:rsidRPr="002D0D60">
        <w:rPr>
          <w:lang w:val="fr-CH"/>
        </w:rPr>
        <w:t>Le Conseil fédéral justifie le relèvement de la valeur limite de 1 mSv à 100</w:t>
      </w:r>
      <w:r w:rsidR="001172AF">
        <w:rPr>
          <w:lang w:val="fr-CH"/>
        </w:rPr>
        <w:t> </w:t>
      </w:r>
      <w:r w:rsidRPr="002D0D60">
        <w:rPr>
          <w:lang w:val="fr-CH"/>
        </w:rPr>
        <w:t>mSv uniquement en référence au niveau naturel de rayonnement</w:t>
      </w:r>
      <w:r w:rsidRPr="002D0D60">
        <w:rPr>
          <w:rStyle w:val="Funotenzeichen"/>
          <w:lang w:val="fr-CH"/>
        </w:rPr>
        <w:footnoteReference w:id="27"/>
      </w:r>
      <w:r w:rsidRPr="002D0D60">
        <w:rPr>
          <w:lang w:val="fr-CH"/>
        </w:rPr>
        <w:t>, qui est en partie supérieur à 1 mSv (mais qui n’est pas inoffensif</w:t>
      </w:r>
      <w:r>
        <w:rPr>
          <w:lang w:val="fr-CH"/>
        </w:rPr>
        <w:t xml:space="preserve"> pour autant</w:t>
      </w:r>
      <w:r w:rsidRPr="002D0D60">
        <w:rPr>
          <w:lang w:val="fr-CH"/>
        </w:rPr>
        <w:t xml:space="preserve">, même s’il est d’origine naturelle !). </w:t>
      </w:r>
      <w:r w:rsidR="00CA05CE" w:rsidRPr="002D0D60">
        <w:rPr>
          <w:lang w:val="fr-CH"/>
        </w:rPr>
        <w:t>C’est là un argument fallacieux, car le nouvel objectif de protection de</w:t>
      </w:r>
      <w:r w:rsidR="00EB3F5D" w:rsidRPr="002D0D60">
        <w:rPr>
          <w:lang w:val="fr-CH"/>
        </w:rPr>
        <w:t xml:space="preserve"> 100 mSv </w:t>
      </w:r>
      <w:r w:rsidR="00CA05CE" w:rsidRPr="002D0D60">
        <w:rPr>
          <w:lang w:val="fr-CH"/>
        </w:rPr>
        <w:t xml:space="preserve">n’est pas comparable à ce rayonnement naturel. Le Conseil fédéral </w:t>
      </w:r>
      <w:r w:rsidR="007D55DF" w:rsidRPr="002D0D60">
        <w:rPr>
          <w:lang w:val="fr-CH"/>
        </w:rPr>
        <w:t>va totalement à l'encontre de</w:t>
      </w:r>
      <w:r w:rsidR="006153D3" w:rsidRPr="002D0D60">
        <w:rPr>
          <w:lang w:val="fr-CH"/>
        </w:rPr>
        <w:t xml:space="preserve">s </w:t>
      </w:r>
      <w:r w:rsidR="007D55DF" w:rsidRPr="002D0D60">
        <w:rPr>
          <w:lang w:val="fr-CH"/>
        </w:rPr>
        <w:t xml:space="preserve">efforts de protection de la population </w:t>
      </w:r>
      <w:r w:rsidR="006153D3" w:rsidRPr="002D0D60">
        <w:rPr>
          <w:lang w:val="fr-CH"/>
        </w:rPr>
        <w:t>contre la contamination radioactive qu’il déploie lui-même dans d’autre</w:t>
      </w:r>
      <w:r w:rsidR="0090574C">
        <w:rPr>
          <w:lang w:val="fr-CH"/>
        </w:rPr>
        <w:t>s</w:t>
      </w:r>
      <w:r w:rsidR="006153D3" w:rsidRPr="002D0D60">
        <w:rPr>
          <w:lang w:val="fr-CH"/>
        </w:rPr>
        <w:t xml:space="preserve"> domaines</w:t>
      </w:r>
      <w:r w:rsidR="00326E3D" w:rsidRPr="002D0D60">
        <w:rPr>
          <w:lang w:val="fr-CH"/>
        </w:rPr>
        <w:t>.</w:t>
      </w:r>
    </w:p>
    <w:p w14:paraId="37350ABD" w14:textId="63230E31" w:rsidR="005505E9" w:rsidRPr="002D0D60" w:rsidRDefault="00C35350" w:rsidP="005505E9">
      <w:pPr>
        <w:pStyle w:val="berschrift2"/>
        <w:rPr>
          <w:lang w:val="fr-CH"/>
        </w:rPr>
      </w:pPr>
      <w:bookmarkStart w:id="25" w:name="_Toc509959558"/>
      <w:r w:rsidRPr="002D0D60">
        <w:rPr>
          <w:lang w:val="fr-CH"/>
        </w:rPr>
        <w:t>CONCLUSION</w:t>
      </w:r>
      <w:bookmarkEnd w:id="25"/>
    </w:p>
    <w:p w14:paraId="6DC5BF2F" w14:textId="4FB943F1" w:rsidR="00E1388C" w:rsidRPr="002D0D60" w:rsidRDefault="002D0D60" w:rsidP="0064217C">
      <w:pPr>
        <w:rPr>
          <w:lang w:val="fr-CH"/>
        </w:rPr>
      </w:pPr>
      <w:r>
        <w:rPr>
          <w:lang w:val="fr-CH"/>
        </w:rPr>
        <w:t xml:space="preserve">La révision </w:t>
      </w:r>
      <w:r w:rsidR="0090574C">
        <w:rPr>
          <w:lang w:val="fr-CH"/>
        </w:rPr>
        <w:t>proposée</w:t>
      </w:r>
      <w:r>
        <w:rPr>
          <w:lang w:val="fr-CH"/>
        </w:rPr>
        <w:t xml:space="preserve"> de diverses ordonnances du droit de l’énergie nucléaire </w:t>
      </w:r>
      <w:r w:rsidR="0090574C">
        <w:rPr>
          <w:lang w:val="fr-CH"/>
        </w:rPr>
        <w:t>e</w:t>
      </w:r>
      <w:r>
        <w:rPr>
          <w:lang w:val="fr-CH"/>
        </w:rPr>
        <w:t xml:space="preserve">ntraînerait un affaiblissement </w:t>
      </w:r>
      <w:r w:rsidR="008316F3">
        <w:rPr>
          <w:lang w:val="fr-CH"/>
        </w:rPr>
        <w:t xml:space="preserve">en partie </w:t>
      </w:r>
      <w:r>
        <w:rPr>
          <w:lang w:val="fr-CH"/>
        </w:rPr>
        <w:t xml:space="preserve">drastique </w:t>
      </w:r>
      <w:r w:rsidR="008316F3">
        <w:rPr>
          <w:lang w:val="fr-CH"/>
        </w:rPr>
        <w:t xml:space="preserve">des exigences actuelles en matière de sécurité nucléaire </w:t>
      </w:r>
      <w:r w:rsidR="0090574C">
        <w:rPr>
          <w:lang w:val="fr-CH"/>
        </w:rPr>
        <w:t>pour les</w:t>
      </w:r>
      <w:r w:rsidR="008316F3">
        <w:rPr>
          <w:lang w:val="fr-CH"/>
        </w:rPr>
        <w:t xml:space="preserve"> centrales existantes. Or le Conseil fédéral ne fournit pas de motivation suffisante pour établir la légitimité d’une telle démarche. En outre, la révision partielle est problématique sur le plan de l’État de droit, alors qu’une procédure judiciaire est en cours sur des questions liées à ces ordonnances. De manière unilatérale, le Conseil fédéral prend parti en faveur de l’autorité de surveillance nucléaire qui protège, dans le cas présent, </w:t>
      </w:r>
      <w:r w:rsidR="000C251E">
        <w:rPr>
          <w:lang w:val="fr-CH"/>
        </w:rPr>
        <w:t xml:space="preserve">les intérêts de l’exploitant de la centrale nucléaire de </w:t>
      </w:r>
      <w:r w:rsidR="00CF0CB4" w:rsidRPr="002D0D60">
        <w:rPr>
          <w:lang w:val="fr-CH"/>
        </w:rPr>
        <w:t>Beznau</w:t>
      </w:r>
      <w:r w:rsidR="00554D82">
        <w:rPr>
          <w:lang w:val="fr-CH"/>
        </w:rPr>
        <w:t xml:space="preserve">. Par ailleurs le </w:t>
      </w:r>
      <w:r w:rsidR="000C251E">
        <w:rPr>
          <w:lang w:val="fr-CH"/>
        </w:rPr>
        <w:t xml:space="preserve">Conseil fédéral empêche un contrôle juridictionnel efficace de l’autorité de surveillance nucléaire. </w:t>
      </w:r>
      <w:r w:rsidR="004767C8">
        <w:rPr>
          <w:lang w:val="fr-CH"/>
        </w:rPr>
        <w:t xml:space="preserve">Sous </w:t>
      </w:r>
      <w:r w:rsidR="001276EB">
        <w:rPr>
          <w:lang w:val="fr-CH"/>
        </w:rPr>
        <w:t>tous les</w:t>
      </w:r>
      <w:r w:rsidR="004767C8">
        <w:rPr>
          <w:lang w:val="fr-CH"/>
        </w:rPr>
        <w:t xml:space="preserve"> aspects, la protection de la population est </w:t>
      </w:r>
      <w:r w:rsidR="00040C0E">
        <w:rPr>
          <w:lang w:val="fr-CH"/>
        </w:rPr>
        <w:t>reléguée au deuxième plan</w:t>
      </w:r>
      <w:r w:rsidR="00CF0CB4" w:rsidRPr="002D0D60">
        <w:rPr>
          <w:lang w:val="fr-CH"/>
        </w:rPr>
        <w:t>.</w:t>
      </w:r>
      <w:r w:rsidR="00D169B9" w:rsidRPr="002D0D60">
        <w:rPr>
          <w:lang w:val="fr-CH"/>
        </w:rPr>
        <w:t xml:space="preserve"> </w:t>
      </w:r>
    </w:p>
    <w:p w14:paraId="15DADE7F" w14:textId="77777777" w:rsidR="00E1388C" w:rsidRPr="002D0D60" w:rsidRDefault="00E1388C" w:rsidP="0064217C">
      <w:pPr>
        <w:rPr>
          <w:lang w:val="fr-CH"/>
        </w:rPr>
      </w:pPr>
    </w:p>
    <w:p w14:paraId="0597C371" w14:textId="5EEA572B" w:rsidR="00463B11" w:rsidRPr="002D0D60" w:rsidRDefault="00040C0E" w:rsidP="0064217C">
      <w:pPr>
        <w:rPr>
          <w:lang w:val="fr-CH"/>
        </w:rPr>
      </w:pPr>
      <w:r>
        <w:rPr>
          <w:lang w:val="fr-CH"/>
        </w:rPr>
        <w:t xml:space="preserve">Les autorités présentent la révision comme visant à adapter les ordonnances à la pratique actuelle. Il s’agit là d’une conception extrêmement problématique de la sécurité du côté de l’IFSN, dont la pratique contrevient manifestement à la législation en vigueur, et </w:t>
      </w:r>
      <w:r w:rsidR="001172AF">
        <w:rPr>
          <w:lang w:val="fr-CH"/>
        </w:rPr>
        <w:t>entraîne</w:t>
      </w:r>
      <w:r>
        <w:rPr>
          <w:lang w:val="fr-CH"/>
        </w:rPr>
        <w:t xml:space="preserve"> une protection tr</w:t>
      </w:r>
      <w:r w:rsidR="00102F98">
        <w:rPr>
          <w:lang w:val="fr-CH"/>
        </w:rPr>
        <w:t>ès lacunaire de la population. Il est inadmissible d’instrumentaliser l</w:t>
      </w:r>
      <w:r>
        <w:rPr>
          <w:lang w:val="fr-CH"/>
        </w:rPr>
        <w:t xml:space="preserve">a complexité de la matière </w:t>
      </w:r>
      <w:r w:rsidR="00102F98">
        <w:rPr>
          <w:lang w:val="fr-CH"/>
        </w:rPr>
        <w:t>pour imposer une révision qui péjore la protection de la population, dans le seul but de maintenir le mythe des centrales nucléaires suisses vieillissantes qui resteraient en exploitation</w:t>
      </w:r>
      <w:r w:rsidR="00407F55">
        <w:rPr>
          <w:lang w:val="fr-CH"/>
        </w:rPr>
        <w:t xml:space="preserve"> uniquement</w:t>
      </w:r>
      <w:r w:rsidR="00102F98">
        <w:rPr>
          <w:lang w:val="fr-CH"/>
        </w:rPr>
        <w:t xml:space="preserve"> tant qu’elles seraient sûres. En réalisant son mandat légal qui est de fixer </w:t>
      </w:r>
      <w:r w:rsidR="00A41A69">
        <w:rPr>
          <w:lang w:val="fr-CH"/>
        </w:rPr>
        <w:t>des</w:t>
      </w:r>
      <w:r w:rsidR="00102F98">
        <w:rPr>
          <w:lang w:val="fr-CH"/>
        </w:rPr>
        <w:t xml:space="preserve"> critères de mise hors service provisoire (a</w:t>
      </w:r>
      <w:r w:rsidR="00316B74" w:rsidRPr="002D0D60">
        <w:rPr>
          <w:lang w:val="fr-CH"/>
        </w:rPr>
        <w:t xml:space="preserve">rt. 22 </w:t>
      </w:r>
      <w:r w:rsidR="00102F98">
        <w:rPr>
          <w:lang w:val="fr-CH"/>
        </w:rPr>
        <w:t>al</w:t>
      </w:r>
      <w:r w:rsidR="00316B74" w:rsidRPr="002D0D60">
        <w:rPr>
          <w:lang w:val="fr-CH"/>
        </w:rPr>
        <w:t xml:space="preserve">. 3 </w:t>
      </w:r>
      <w:r w:rsidR="005E2935" w:rsidRPr="005E2935">
        <w:rPr>
          <w:lang w:val="fr-CH"/>
        </w:rPr>
        <w:t>LENu</w:t>
      </w:r>
      <w:r w:rsidR="00316B74" w:rsidRPr="002D0D60">
        <w:rPr>
          <w:lang w:val="fr-CH"/>
        </w:rPr>
        <w:t>)</w:t>
      </w:r>
      <w:r w:rsidR="005E2935">
        <w:rPr>
          <w:lang w:val="fr-CH"/>
        </w:rPr>
        <w:t>, le Conseil fédéral est tenu de respecter le cadre du droit supérieur. Il ne peut pas arbitrairement fixer des critères sélectifs</w:t>
      </w:r>
      <w:r w:rsidR="00741274" w:rsidRPr="002D0D60">
        <w:rPr>
          <w:lang w:val="fr-CH"/>
        </w:rPr>
        <w:t xml:space="preserve">, </w:t>
      </w:r>
      <w:r w:rsidR="005E2935">
        <w:rPr>
          <w:lang w:val="fr-CH"/>
        </w:rPr>
        <w:t>comme il le prévoit dans la révision proposée</w:t>
      </w:r>
      <w:r w:rsidR="00987DB3" w:rsidRPr="002D0D60">
        <w:rPr>
          <w:lang w:val="fr-CH"/>
        </w:rPr>
        <w:t>.</w:t>
      </w:r>
      <w:r w:rsidR="00741274" w:rsidRPr="002D0D60">
        <w:rPr>
          <w:lang w:val="fr-CH"/>
        </w:rPr>
        <w:t xml:space="preserve"> </w:t>
      </w:r>
    </w:p>
    <w:p w14:paraId="4530C54F" w14:textId="77777777" w:rsidR="001C7CE8" w:rsidRPr="005B3193" w:rsidRDefault="001C7CE8" w:rsidP="001C7CE8">
      <w:pPr>
        <w:pStyle w:val="berschrift1"/>
        <w:ind w:left="431" w:hanging="431"/>
        <w:rPr>
          <w:lang w:val="fr-CH"/>
        </w:rPr>
      </w:pPr>
      <w:bookmarkStart w:id="26" w:name="_Toc507064475"/>
      <w:bookmarkStart w:id="27" w:name="_Toc509959559"/>
      <w:r>
        <w:rPr>
          <w:lang w:val="fr-CH"/>
        </w:rPr>
        <w:lastRenderedPageBreak/>
        <w:t>TH</w:t>
      </w:r>
      <w:r w:rsidRPr="00013D3C">
        <w:rPr>
          <w:caps/>
          <w:lang w:val="fr-CH"/>
        </w:rPr>
        <w:t>è</w:t>
      </w:r>
      <w:r>
        <w:rPr>
          <w:lang w:val="fr-CH"/>
        </w:rPr>
        <w:t>ME</w:t>
      </w:r>
      <w:r w:rsidRPr="005B3193">
        <w:rPr>
          <w:lang w:val="fr-CH"/>
        </w:rPr>
        <w:t xml:space="preserve"> 2</w:t>
      </w:r>
      <w:r>
        <w:rPr>
          <w:lang w:val="fr-CH"/>
        </w:rPr>
        <w:t> :</w:t>
      </w:r>
      <w:r w:rsidRPr="005B3193">
        <w:rPr>
          <w:lang w:val="fr-CH"/>
        </w:rPr>
        <w:t xml:space="preserve"> </w:t>
      </w:r>
      <w:bookmarkEnd w:id="26"/>
      <w:r w:rsidRPr="005B3193">
        <w:rPr>
          <w:lang w:val="fr-CH"/>
        </w:rPr>
        <w:t>STOCKAGE POUR D</w:t>
      </w:r>
      <w:r w:rsidRPr="005B3193">
        <w:rPr>
          <w:caps/>
          <w:lang w:val="fr-CH"/>
        </w:rPr>
        <w:t>é</w:t>
      </w:r>
      <w:r w:rsidRPr="005B3193">
        <w:rPr>
          <w:lang w:val="fr-CH"/>
        </w:rPr>
        <w:t>CROISSANCE</w:t>
      </w:r>
      <w:bookmarkEnd w:id="27"/>
    </w:p>
    <w:p w14:paraId="7B0E3B17" w14:textId="77777777" w:rsidR="001C7CE8" w:rsidRPr="005B3193" w:rsidRDefault="001C7CE8" w:rsidP="001C7CE8">
      <w:pPr>
        <w:rPr>
          <w:lang w:val="fr-CH"/>
        </w:rPr>
      </w:pPr>
      <w:r>
        <w:rPr>
          <w:lang w:val="fr-CH"/>
        </w:rPr>
        <w:t xml:space="preserve">Le Conseil fédéral entend créer une base légale pour permettre la construction et la gestion de </w:t>
      </w:r>
      <w:r w:rsidRPr="000D65A8">
        <w:rPr>
          <w:lang w:val="fr-CH"/>
        </w:rPr>
        <w:t>dépôt</w:t>
      </w:r>
      <w:r>
        <w:rPr>
          <w:lang w:val="fr-CH"/>
        </w:rPr>
        <w:t>s</w:t>
      </w:r>
      <w:r w:rsidRPr="000D65A8">
        <w:rPr>
          <w:lang w:val="fr-CH"/>
        </w:rPr>
        <w:t xml:space="preserve"> de décroissance pour déchets radioactifs en dehors </w:t>
      </w:r>
      <w:r>
        <w:rPr>
          <w:lang w:val="fr-CH"/>
        </w:rPr>
        <w:t>des</w:t>
      </w:r>
      <w:r w:rsidRPr="000D65A8">
        <w:rPr>
          <w:lang w:val="fr-CH"/>
        </w:rPr>
        <w:t xml:space="preserve"> installation</w:t>
      </w:r>
      <w:r>
        <w:rPr>
          <w:lang w:val="fr-CH"/>
        </w:rPr>
        <w:t>s</w:t>
      </w:r>
      <w:r w:rsidRPr="000D65A8">
        <w:rPr>
          <w:lang w:val="fr-CH"/>
        </w:rPr>
        <w:t xml:space="preserve"> nucléaire</w:t>
      </w:r>
      <w:r>
        <w:rPr>
          <w:lang w:val="fr-CH"/>
        </w:rPr>
        <w:t>s. Ceci implique une modification de l’ordonnance sur la radioprotection (ORaP) et de l’ordonnance sur l’</w:t>
      </w:r>
      <w:r w:rsidRPr="00013D3C">
        <w:rPr>
          <w:lang w:val="fr-CH"/>
        </w:rPr>
        <w:t>énergie nucléaire (OENu)</w:t>
      </w:r>
      <w:r>
        <w:rPr>
          <w:lang w:val="fr-CH"/>
        </w:rPr>
        <w:t>. Une telle révision a pour conséquence qu’il faut également modifier les dispositions en matière de responsabilité civile.</w:t>
      </w:r>
    </w:p>
    <w:p w14:paraId="6BFDE7ED" w14:textId="77777777" w:rsidR="001C7CE8" w:rsidRPr="005B3193" w:rsidRDefault="001C7CE8" w:rsidP="001C7CE8">
      <w:pPr>
        <w:rPr>
          <w:lang w:val="fr-CH"/>
        </w:rPr>
      </w:pPr>
    </w:p>
    <w:p w14:paraId="06B751A2" w14:textId="77777777" w:rsidR="001C7CE8" w:rsidRPr="005B3193" w:rsidRDefault="001C7CE8" w:rsidP="001C7CE8">
      <w:pPr>
        <w:rPr>
          <w:lang w:val="fr-CH"/>
        </w:rPr>
      </w:pPr>
      <w:r>
        <w:rPr>
          <w:lang w:val="fr-CH"/>
        </w:rPr>
        <w:t xml:space="preserve">De manière générale, nous formulons des réserves sur le fait que des composantes d’une installation nucléaire soient exclues du champ d’application de la loi sur l’énergie nucléaire </w:t>
      </w:r>
      <w:r w:rsidRPr="0029266B">
        <w:rPr>
          <w:lang w:val="fr-CH"/>
        </w:rPr>
        <w:t>(</w:t>
      </w:r>
      <w:r>
        <w:rPr>
          <w:lang w:val="fr-CH"/>
        </w:rPr>
        <w:t xml:space="preserve">art. 2 </w:t>
      </w:r>
      <w:r w:rsidRPr="0029266B">
        <w:rPr>
          <w:lang w:val="fr-CH"/>
        </w:rPr>
        <w:t>LENu)</w:t>
      </w:r>
      <w:r>
        <w:rPr>
          <w:lang w:val="fr-CH"/>
        </w:rPr>
        <w:t>, pendant ou après le démantèlement de l’installation, et soient simplement soumises à un régime d’autorisation</w:t>
      </w:r>
      <w:r w:rsidRPr="00CC4A16">
        <w:rPr>
          <w:lang w:val="fr-CH"/>
        </w:rPr>
        <w:t xml:space="preserve"> </w:t>
      </w:r>
      <w:r>
        <w:rPr>
          <w:lang w:val="fr-CH"/>
        </w:rPr>
        <w:t xml:space="preserve">peu contraignant. Une installation nucléaire devrait être considérée comme un tout, jusqu’à son démantèlement complet, et rester soumise aux exigences de la </w:t>
      </w:r>
      <w:r w:rsidRPr="0029266B">
        <w:rPr>
          <w:lang w:val="fr-CH"/>
        </w:rPr>
        <w:t>LENu</w:t>
      </w:r>
      <w:r w:rsidRPr="005B3193">
        <w:rPr>
          <w:lang w:val="fr-CH"/>
        </w:rPr>
        <w:t>.</w:t>
      </w:r>
    </w:p>
    <w:p w14:paraId="41C361EF" w14:textId="77777777" w:rsidR="001C7CE8" w:rsidRPr="005B3193" w:rsidRDefault="001C7CE8" w:rsidP="001C7CE8">
      <w:pPr>
        <w:rPr>
          <w:lang w:val="fr-CH"/>
        </w:rPr>
      </w:pPr>
    </w:p>
    <w:p w14:paraId="7F90DC7F" w14:textId="77777777" w:rsidR="001C7CE8" w:rsidRPr="005B3193" w:rsidRDefault="001C7CE8" w:rsidP="001C7CE8">
      <w:pPr>
        <w:rPr>
          <w:lang w:val="fr-CH"/>
        </w:rPr>
      </w:pPr>
      <w:r>
        <w:rPr>
          <w:lang w:val="fr-CH"/>
        </w:rPr>
        <w:t>Nous reconnaissons toutefois que le stockage pour décroissance peut se justifier, à certaines conditions (faible activité, demi-vie courte), notamment du point de vue de la radioprotection. Par ailleurs, le droit de la radioprotection permet en principe déjà le stockage pour décroissance pour le matériel radioactif ne provenant pas d’une installation nucléaire. La révision prévue tient compte de ces circonstances.</w:t>
      </w:r>
    </w:p>
    <w:p w14:paraId="7367E9B2" w14:textId="77777777" w:rsidR="001C7CE8" w:rsidRPr="005B3193" w:rsidRDefault="001C7CE8" w:rsidP="001C7CE8">
      <w:pPr>
        <w:rPr>
          <w:lang w:val="fr-CH"/>
        </w:rPr>
      </w:pPr>
    </w:p>
    <w:p w14:paraId="747D51B7" w14:textId="77777777" w:rsidR="001C7CE8" w:rsidRPr="005B3193" w:rsidRDefault="001C7CE8" w:rsidP="001C7CE8">
      <w:pPr>
        <w:rPr>
          <w:lang w:val="fr-CH"/>
        </w:rPr>
      </w:pPr>
      <w:r>
        <w:rPr>
          <w:lang w:val="fr-CH"/>
        </w:rPr>
        <w:t>Nous ne rejetons donc pas l’intention de la révision, mais nous demandons quelques modifications, afin de maintenir un niveau de protection similaire à l’avenir.</w:t>
      </w:r>
    </w:p>
    <w:p w14:paraId="06B4C3A8" w14:textId="77777777" w:rsidR="001C7CE8" w:rsidRPr="005B3193" w:rsidRDefault="001C7CE8" w:rsidP="001C7CE8">
      <w:pPr>
        <w:rPr>
          <w:lang w:val="fr-CH"/>
        </w:rPr>
      </w:pPr>
    </w:p>
    <w:p w14:paraId="5FC2C657" w14:textId="02CF7110" w:rsidR="001C7CE8" w:rsidRPr="005B3193" w:rsidRDefault="006839ED" w:rsidP="006839ED">
      <w:pPr>
        <w:pStyle w:val="berschrift2"/>
        <w:rPr>
          <w:lang w:val="fr-CH"/>
        </w:rPr>
      </w:pPr>
      <w:bookmarkStart w:id="28" w:name="_Toc509959560"/>
      <w:r>
        <w:rPr>
          <w:lang w:val="fr-CH"/>
        </w:rPr>
        <w:t>OBLIGATION DE PROUVER LES AVANTAGES DU STOCKAGE POUR DÉCROISSANCE HORS DES INSTALLATIONS NUCLÉAIRES</w:t>
      </w:r>
      <w:bookmarkEnd w:id="28"/>
    </w:p>
    <w:p w14:paraId="4E3FEE4B" w14:textId="77777777" w:rsidR="001C7CE8" w:rsidRPr="005B3193" w:rsidRDefault="001C7CE8" w:rsidP="001C7CE8">
      <w:pPr>
        <w:rPr>
          <w:lang w:val="fr-CH"/>
        </w:rPr>
      </w:pPr>
      <w:r>
        <w:rPr>
          <w:lang w:val="fr-CH"/>
        </w:rPr>
        <w:t>La dissémination géographique des déchets radioactifs doit être évitée,</w:t>
      </w:r>
      <w:r w:rsidRPr="005B3193">
        <w:rPr>
          <w:lang w:val="fr-CH"/>
        </w:rPr>
        <w:t xml:space="preserve"> </w:t>
      </w:r>
      <w:r>
        <w:rPr>
          <w:lang w:val="fr-CH"/>
        </w:rPr>
        <w:t>même en présence de conditions de stockage contrôlées. Il faut éviter autant que possible le maniement et le transport des matériaux radioactifs, en premier lieu pour des raisons de radioprotection, mais aussi pour des raisons de protection de l’environnement. Il faut limiter autant que possible le nombre de dépôts de déchets radioactifs issus des installations nucléaires, et prévoir ces dépôts de préférence dans le périmètre des installations.</w:t>
      </w:r>
    </w:p>
    <w:p w14:paraId="05A5824D" w14:textId="77777777" w:rsidR="001C7CE8" w:rsidRPr="005B3193" w:rsidRDefault="001C7CE8" w:rsidP="001C7CE8">
      <w:pPr>
        <w:rPr>
          <w:lang w:val="fr-CH"/>
        </w:rPr>
      </w:pPr>
    </w:p>
    <w:p w14:paraId="3984694A" w14:textId="77777777" w:rsidR="001C7CE8" w:rsidRPr="005B3193" w:rsidRDefault="001C7CE8" w:rsidP="001C7CE8">
      <w:pPr>
        <w:rPr>
          <w:lang w:val="fr-CH"/>
        </w:rPr>
      </w:pPr>
      <w:r>
        <w:rPr>
          <w:lang w:val="fr-CH"/>
        </w:rPr>
        <w:t>Nous n’excluons pas qu’un stockage pour décroissance situé hors d’une installation nucléaire puisse présenter des avantages, par rapport à un stockage sur le site même de l’installation.</w:t>
      </w:r>
      <w:r w:rsidRPr="005B3193">
        <w:rPr>
          <w:lang w:val="fr-CH"/>
        </w:rPr>
        <w:t xml:space="preserve"> </w:t>
      </w:r>
      <w:r>
        <w:rPr>
          <w:lang w:val="fr-CH"/>
        </w:rPr>
        <w:t>Mais nous estimons qu’il est nécessaire de procéder à une comparaison et à une appréciation des deux variantes, avant d’autoriser un dépôt en dehors de l’installation. Le détenteur de l’autorisation de l’installation nucléaire doit avoir l’obligation de prouver les avantages d’un stockage hors de l’installation.</w:t>
      </w:r>
    </w:p>
    <w:p w14:paraId="27C800E5" w14:textId="77777777" w:rsidR="001C7CE8" w:rsidRPr="005B3193" w:rsidRDefault="001C7CE8" w:rsidP="001C7CE8">
      <w:pPr>
        <w:rPr>
          <w:lang w:val="fr-CH"/>
        </w:rPr>
      </w:pPr>
    </w:p>
    <w:p w14:paraId="3ED70FD5" w14:textId="77777777" w:rsidR="001C7CE8" w:rsidRPr="005B3193" w:rsidRDefault="001C7CE8" w:rsidP="001C7CE8">
      <w:pPr>
        <w:rPr>
          <w:i/>
          <w:lang w:val="fr-CH"/>
        </w:rPr>
      </w:pPr>
      <w:r w:rsidRPr="000A0B7D">
        <w:rPr>
          <w:i/>
          <w:lang w:val="fr-CH"/>
        </w:rPr>
        <w:lastRenderedPageBreak/>
        <w:t xml:space="preserve">Proposition : nous vous prions de modifier l’OENu et l’ORaP de manière à prévoir une obligation, pour le détenteur de l’autorisation d’exploiter une installation nucléaire, </w:t>
      </w:r>
      <w:r>
        <w:rPr>
          <w:i/>
          <w:lang w:val="fr-CH"/>
        </w:rPr>
        <w:t xml:space="preserve">de prouver que le stockage pour décroissance en dehors du périmètre de l’installation présente des avantages sur le plan de la radioprotection (première priorité) et sur le plan de la protection de l’environnement (seconde priorité, en particulier concernant le bruit et la protection de l’air). Cette preuve devra être examinée par l’autorité </w:t>
      </w:r>
      <w:r w:rsidRPr="008758E6">
        <w:rPr>
          <w:i/>
          <w:lang w:val="fr-CH"/>
        </w:rPr>
        <w:t>qui délivre l'autorisation</w:t>
      </w:r>
      <w:r>
        <w:rPr>
          <w:i/>
          <w:lang w:val="fr-CH"/>
        </w:rPr>
        <w:t xml:space="preserve">, et sera la précondition à l’octroi d’une autorisation en vertu de la </w:t>
      </w:r>
      <w:r w:rsidRPr="00D42252">
        <w:rPr>
          <w:i/>
          <w:lang w:val="fr-CH"/>
        </w:rPr>
        <w:t>LRaP</w:t>
      </w:r>
      <w:r>
        <w:rPr>
          <w:i/>
          <w:lang w:val="fr-CH"/>
        </w:rPr>
        <w:t>.</w:t>
      </w:r>
    </w:p>
    <w:p w14:paraId="5B873286" w14:textId="77777777" w:rsidR="001C7CE8" w:rsidRPr="005B3193" w:rsidRDefault="001C7CE8" w:rsidP="001C7CE8">
      <w:pPr>
        <w:rPr>
          <w:lang w:val="fr-CH"/>
        </w:rPr>
      </w:pPr>
    </w:p>
    <w:p w14:paraId="6CAA17D8" w14:textId="7828DD33" w:rsidR="001C7CE8" w:rsidRPr="005B3193" w:rsidRDefault="006839ED" w:rsidP="006839ED">
      <w:pPr>
        <w:pStyle w:val="berschrift2"/>
        <w:rPr>
          <w:lang w:val="fr-CH"/>
        </w:rPr>
      </w:pPr>
      <w:bookmarkStart w:id="29" w:name="_Toc509959561"/>
      <w:r>
        <w:rPr>
          <w:lang w:val="fr-CH"/>
        </w:rPr>
        <w:t>SÉPARATION DES COMPÉTENCES EN MATIÈRE D’AUTORISATION ET DE SURVEILLANCE</w:t>
      </w:r>
      <w:bookmarkEnd w:id="29"/>
    </w:p>
    <w:p w14:paraId="54619927" w14:textId="77777777" w:rsidR="001C7CE8" w:rsidRPr="005B3193" w:rsidRDefault="001C7CE8" w:rsidP="001C7CE8">
      <w:pPr>
        <w:rPr>
          <w:highlight w:val="yellow"/>
          <w:lang w:val="fr-CH"/>
        </w:rPr>
      </w:pPr>
      <w:r>
        <w:rPr>
          <w:lang w:val="fr-CH"/>
        </w:rPr>
        <w:t>Nous rejetons l’intention d’attribuer les compétences en matière d’autorisation et de surveillance à une seule et même autorité (l’IFSN en l’occurrence). La séparation de ces deux compétences, qui est en principe inscrite dans le droit sur l’énergie nucléaire, exige que deux autorités distinctes soient chargées de ces deux compétences. L’OFSP devra être l’autorité délivrant l’autorisation pour le stockage de décroissance des matériaux nucléaires, même ceux qui proviennent des installations nucléaires. L’IFSN continuera d’assumer la surveillance</w:t>
      </w:r>
      <w:r w:rsidRPr="005B3193">
        <w:rPr>
          <w:lang w:val="fr-CH"/>
        </w:rPr>
        <w:t>.</w:t>
      </w:r>
    </w:p>
    <w:p w14:paraId="3F3D455C" w14:textId="77777777" w:rsidR="001C7CE8" w:rsidRPr="005B3193" w:rsidRDefault="001C7CE8" w:rsidP="001C7CE8">
      <w:pPr>
        <w:rPr>
          <w:highlight w:val="yellow"/>
          <w:lang w:val="fr-CH"/>
        </w:rPr>
      </w:pPr>
    </w:p>
    <w:p w14:paraId="2C9AAC3F" w14:textId="77777777" w:rsidR="001C7CE8" w:rsidRPr="005B3193" w:rsidRDefault="001C7CE8" w:rsidP="001C7CE8">
      <w:pPr>
        <w:rPr>
          <w:i/>
          <w:lang w:val="fr-CH"/>
        </w:rPr>
      </w:pPr>
      <w:r>
        <w:rPr>
          <w:i/>
          <w:lang w:val="fr-CH"/>
        </w:rPr>
        <w:t>Proposition : suppression de l’a</w:t>
      </w:r>
      <w:r w:rsidRPr="005B3193">
        <w:rPr>
          <w:i/>
          <w:lang w:val="fr-CH"/>
        </w:rPr>
        <w:t>rt. 11</w:t>
      </w:r>
      <w:r>
        <w:rPr>
          <w:i/>
          <w:lang w:val="fr-CH"/>
        </w:rPr>
        <w:t>, al.</w:t>
      </w:r>
      <w:r w:rsidRPr="005B3193">
        <w:rPr>
          <w:i/>
          <w:lang w:val="fr-CH"/>
        </w:rPr>
        <w:t xml:space="preserve"> 2</w:t>
      </w:r>
      <w:r>
        <w:rPr>
          <w:i/>
          <w:lang w:val="fr-CH"/>
        </w:rPr>
        <w:t>, let.</w:t>
      </w:r>
      <w:r w:rsidRPr="005B3193">
        <w:rPr>
          <w:i/>
          <w:lang w:val="fr-CH"/>
        </w:rPr>
        <w:t xml:space="preserve"> f </w:t>
      </w:r>
      <w:r w:rsidRPr="000A0B7D">
        <w:rPr>
          <w:i/>
          <w:lang w:val="fr-CH"/>
        </w:rPr>
        <w:t>ORaP</w:t>
      </w:r>
      <w:r w:rsidRPr="005B3193">
        <w:rPr>
          <w:i/>
          <w:lang w:val="fr-CH"/>
        </w:rPr>
        <w:t xml:space="preserve"> </w:t>
      </w:r>
    </w:p>
    <w:p w14:paraId="44CEADD9" w14:textId="77777777" w:rsidR="001C7CE8" w:rsidRPr="005B3193" w:rsidRDefault="001C7CE8" w:rsidP="001C7CE8">
      <w:pPr>
        <w:rPr>
          <w:lang w:val="fr-CH"/>
        </w:rPr>
      </w:pPr>
    </w:p>
    <w:p w14:paraId="47F04A2E" w14:textId="041200E5" w:rsidR="001C7CE8" w:rsidRPr="005B3193" w:rsidRDefault="006839ED" w:rsidP="006839ED">
      <w:pPr>
        <w:pStyle w:val="berschrift2"/>
        <w:rPr>
          <w:lang w:val="fr-CH"/>
        </w:rPr>
      </w:pPr>
      <w:bookmarkStart w:id="30" w:name="_Toc509959562"/>
      <w:r w:rsidRPr="005B3193">
        <w:rPr>
          <w:lang w:val="fr-CH"/>
        </w:rPr>
        <w:t xml:space="preserve">GARANTIE </w:t>
      </w:r>
      <w:r>
        <w:rPr>
          <w:lang w:val="fr-CH"/>
        </w:rPr>
        <w:t>D’UNE PROCÉDURE D’AUTORISATION PUBLIQUE</w:t>
      </w:r>
      <w:bookmarkEnd w:id="30"/>
    </w:p>
    <w:p w14:paraId="685A9336" w14:textId="77777777" w:rsidR="001C7CE8" w:rsidRPr="005B3193" w:rsidRDefault="001C7CE8" w:rsidP="001C7CE8">
      <w:pPr>
        <w:rPr>
          <w:lang w:val="fr-CH"/>
        </w:rPr>
      </w:pPr>
      <w:r>
        <w:rPr>
          <w:lang w:val="fr-CH"/>
        </w:rPr>
        <w:t>Nous vous prions de veiller à ce que la révision garantisse une procédure d’autorisation publique en vertu du droit de la radioprotection (et non en vertu du droit cantonal de la construction). Nous considérons qu’une procédure ouverte et transparente augmentera la tolérance d’un dépôt de stockage dans la région concernée. Par contre, toute procédure se déroulant exclusivement entre le requérant et l’autorité suscitera la méfiance et provoquera des résistances, surtout en lien avec la radioactivité (même de faible intensité).</w:t>
      </w:r>
    </w:p>
    <w:p w14:paraId="75CE69E9" w14:textId="77777777" w:rsidR="001C7CE8" w:rsidRPr="005B3193" w:rsidRDefault="001C7CE8" w:rsidP="001C7CE8">
      <w:pPr>
        <w:rPr>
          <w:lang w:val="fr-CH"/>
        </w:rPr>
      </w:pPr>
    </w:p>
    <w:p w14:paraId="1F75C88A" w14:textId="68942BC8" w:rsidR="006865AE" w:rsidRDefault="001C7CE8" w:rsidP="001C7CE8">
      <w:pPr>
        <w:rPr>
          <w:lang w:val="fr-CH"/>
        </w:rPr>
      </w:pPr>
      <w:r>
        <w:rPr>
          <w:i/>
          <w:lang w:val="fr-CH"/>
        </w:rPr>
        <w:t>Proposition : la révision des dispositions doit explicitement prévoir une procédure d’autorisation publique en vertu du droit de la radioprotection</w:t>
      </w:r>
      <w:r w:rsidRPr="005B3193">
        <w:rPr>
          <w:i/>
          <w:lang w:val="fr-CH"/>
        </w:rPr>
        <w:t>.</w:t>
      </w:r>
    </w:p>
    <w:p w14:paraId="3DB82155" w14:textId="77777777" w:rsidR="001C7CE8" w:rsidRPr="002D0D60" w:rsidRDefault="001C7CE8" w:rsidP="007F7A13">
      <w:pPr>
        <w:rPr>
          <w:lang w:val="fr-CH"/>
        </w:rPr>
      </w:pPr>
    </w:p>
    <w:p w14:paraId="049B1D78" w14:textId="6456BF5D" w:rsidR="003B0EE6" w:rsidRPr="002D0D60" w:rsidRDefault="005E2935" w:rsidP="006839ED">
      <w:pPr>
        <w:pStyle w:val="berschrift1"/>
        <w:rPr>
          <w:lang w:val="fr-CH"/>
        </w:rPr>
      </w:pPr>
      <w:bookmarkStart w:id="31" w:name="_Toc509959563"/>
      <w:r>
        <w:rPr>
          <w:lang w:val="fr-CH"/>
        </w:rPr>
        <w:t>NOS REVENDICATIONS</w:t>
      </w:r>
      <w:bookmarkEnd w:id="31"/>
    </w:p>
    <w:p w14:paraId="53DAFFE6" w14:textId="74521447" w:rsidR="00463B11" w:rsidRPr="002D0D60" w:rsidRDefault="00EA2F64" w:rsidP="00F502BB">
      <w:pPr>
        <w:pStyle w:val="Listenabsatz"/>
        <w:numPr>
          <w:ilvl w:val="0"/>
          <w:numId w:val="26"/>
        </w:numPr>
        <w:tabs>
          <w:tab w:val="clear" w:pos="255"/>
          <w:tab w:val="left" w:pos="709"/>
        </w:tabs>
        <w:ind w:left="709" w:hanging="425"/>
        <w:rPr>
          <w:b/>
          <w:i/>
          <w:lang w:val="fr-CH"/>
        </w:rPr>
      </w:pPr>
      <w:r>
        <w:rPr>
          <w:b/>
          <w:i/>
          <w:lang w:val="fr-CH"/>
        </w:rPr>
        <w:t>Nous rejetons intégralement la révision partielle du domaine de l’analyse des défaillances et de la mise hors service provisoire, et demandons au Conseil fédéral de renoncer à la modification prévue des ordonnances</w:t>
      </w:r>
      <w:r w:rsidR="00463B11" w:rsidRPr="002D0D60">
        <w:rPr>
          <w:b/>
          <w:i/>
          <w:lang w:val="fr-CH"/>
        </w:rPr>
        <w:t xml:space="preserve">. </w:t>
      </w:r>
      <w:r w:rsidR="00F502BB" w:rsidRPr="002D0D60">
        <w:rPr>
          <w:b/>
          <w:i/>
          <w:lang w:val="fr-CH"/>
        </w:rPr>
        <w:br/>
      </w:r>
      <w:r>
        <w:rPr>
          <w:lang w:val="fr-CH"/>
        </w:rPr>
        <w:t xml:space="preserve">La motivation de la révision partielle à l’heure actuelle est problématique sur le plan de l’État de droit et insuffisante sur le plan du contenu. La révision telle que proposée </w:t>
      </w:r>
      <w:r w:rsidR="00BB5903">
        <w:rPr>
          <w:lang w:val="fr-CH"/>
        </w:rPr>
        <w:t>entraînerait</w:t>
      </w:r>
      <w:r>
        <w:rPr>
          <w:lang w:val="fr-CH"/>
        </w:rPr>
        <w:t xml:space="preserve"> </w:t>
      </w:r>
      <w:r w:rsidR="00BB5903">
        <w:rPr>
          <w:lang w:val="fr-CH"/>
        </w:rPr>
        <w:t>u</w:t>
      </w:r>
      <w:r>
        <w:rPr>
          <w:lang w:val="fr-CH"/>
        </w:rPr>
        <w:t>n affaiblissement drastique des exigences actuelles en matière de sécurité nu</w:t>
      </w:r>
      <w:r>
        <w:rPr>
          <w:lang w:val="fr-CH"/>
        </w:rPr>
        <w:lastRenderedPageBreak/>
        <w:t>cléaire</w:t>
      </w:r>
      <w:r w:rsidR="00BB5903">
        <w:rPr>
          <w:lang w:val="fr-CH"/>
        </w:rPr>
        <w:t xml:space="preserve"> pour les centrales existantes, et par conséquent un niveau moindre de protection de la population concernée en cas d’incident</w:t>
      </w:r>
      <w:r w:rsidR="00463B11" w:rsidRPr="002D0D60">
        <w:rPr>
          <w:lang w:val="fr-CH"/>
        </w:rPr>
        <w:t>.</w:t>
      </w:r>
    </w:p>
    <w:p w14:paraId="5EB44741" w14:textId="77777777" w:rsidR="00463B11" w:rsidRPr="002D0D60" w:rsidRDefault="00463B11" w:rsidP="00F502BB">
      <w:pPr>
        <w:tabs>
          <w:tab w:val="left" w:pos="709"/>
        </w:tabs>
        <w:ind w:left="709" w:hanging="425"/>
        <w:rPr>
          <w:lang w:val="fr-CH"/>
        </w:rPr>
      </w:pPr>
    </w:p>
    <w:p w14:paraId="4DC63512" w14:textId="37A3CE27" w:rsidR="00A4425B" w:rsidRPr="006839ED" w:rsidRDefault="006839ED" w:rsidP="00F502BB">
      <w:pPr>
        <w:pStyle w:val="Listenabsatz"/>
        <w:numPr>
          <w:ilvl w:val="0"/>
          <w:numId w:val="26"/>
        </w:numPr>
        <w:tabs>
          <w:tab w:val="clear" w:pos="255"/>
          <w:tab w:val="left" w:pos="709"/>
        </w:tabs>
        <w:ind w:left="709" w:hanging="425"/>
        <w:rPr>
          <w:rStyle w:val="Schwachhervorheb"/>
          <w:b/>
          <w:i w:val="0"/>
          <w:lang w:val="fr-CH"/>
        </w:rPr>
      </w:pPr>
      <w:r w:rsidRPr="006839ED">
        <w:rPr>
          <w:b/>
          <w:i/>
          <w:lang w:val="fr-CH"/>
        </w:rPr>
        <w:t>Nous vous prions de compléter les dispositions sur l’autorisation des dépôts de stockage de décroissance pour déchets radioactifs issus d’une installation nucléaire en dehors du site de l’installation, en y ajoutant les éléments suivants :</w:t>
      </w:r>
      <w:r w:rsidRPr="006839ED">
        <w:rPr>
          <w:b/>
          <w:i/>
          <w:lang w:val="fr-CH"/>
        </w:rPr>
        <w:br/>
      </w:r>
      <w:r w:rsidRPr="006839ED">
        <w:rPr>
          <w:rStyle w:val="Schwachhervorheb"/>
          <w:i w:val="0"/>
          <w:lang w:val="fr-CH"/>
        </w:rPr>
        <w:t>- il faut prouver les avantages d’un stockage pour décroissance hors du site de l’installation nucléaire, en matière de radioprotection et de protection de l’environnement ;</w:t>
      </w:r>
      <w:r w:rsidRPr="006839ED">
        <w:rPr>
          <w:rStyle w:val="Schwachhervorheb"/>
          <w:i w:val="0"/>
          <w:lang w:val="fr-CH"/>
        </w:rPr>
        <w:br/>
        <w:t>- les compétences d’autorisation et de surveillance doivent être attribuées à deux autorités distinctes ;</w:t>
      </w:r>
      <w:r w:rsidRPr="006839ED">
        <w:rPr>
          <w:rStyle w:val="Schwachhervorheb"/>
          <w:i w:val="0"/>
          <w:lang w:val="fr-CH"/>
        </w:rPr>
        <w:br/>
        <w:t>- il faut garantir une procédure d’autorisation publique.</w:t>
      </w:r>
    </w:p>
    <w:p w14:paraId="1DFC5CFB" w14:textId="77777777" w:rsidR="006839ED" w:rsidRPr="006839ED" w:rsidRDefault="006839ED" w:rsidP="006839ED">
      <w:pPr>
        <w:tabs>
          <w:tab w:val="left" w:pos="709"/>
        </w:tabs>
        <w:rPr>
          <w:rStyle w:val="Schwachhervorheb"/>
          <w:b/>
          <w:i w:val="0"/>
          <w:lang w:val="fr-CH"/>
        </w:rPr>
      </w:pPr>
    </w:p>
    <w:p w14:paraId="6A1CBB7A" w14:textId="77777777" w:rsidR="006839ED" w:rsidRPr="006839ED" w:rsidRDefault="006839ED" w:rsidP="006839ED">
      <w:pPr>
        <w:tabs>
          <w:tab w:val="left" w:pos="709"/>
        </w:tabs>
        <w:ind w:left="360" w:hanging="360"/>
        <w:rPr>
          <w:rStyle w:val="Schwachhervorheb"/>
          <w:b/>
          <w:i w:val="0"/>
          <w:lang w:val="fr-CH"/>
        </w:rPr>
      </w:pPr>
    </w:p>
    <w:p w14:paraId="47E2E811" w14:textId="25E1F449" w:rsidR="003D411E" w:rsidRPr="002D0D60" w:rsidRDefault="00BD7878" w:rsidP="003D411E">
      <w:pPr>
        <w:pStyle w:val="berschrift1"/>
        <w:rPr>
          <w:lang w:val="fr-CH"/>
        </w:rPr>
      </w:pPr>
      <w:bookmarkStart w:id="32" w:name="_Toc509959564"/>
      <w:r w:rsidRPr="002D0D60">
        <w:rPr>
          <w:lang w:val="fr-CH"/>
        </w:rPr>
        <w:t>GLOSSAIRE</w:t>
      </w:r>
      <w:bookmarkEnd w:id="32"/>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362"/>
      </w:tblGrid>
      <w:tr w:rsidR="003D411E" w:rsidRPr="002D0D60" w14:paraId="304F8C95" w14:textId="77777777" w:rsidTr="003D411E">
        <w:tc>
          <w:tcPr>
            <w:tcW w:w="2093" w:type="dxa"/>
          </w:tcPr>
          <w:p w14:paraId="4D86B142" w14:textId="10E0EF4D" w:rsidR="003D411E" w:rsidRPr="002D0D60" w:rsidRDefault="00BD7878" w:rsidP="003D411E">
            <w:pPr>
              <w:rPr>
                <w:lang w:val="fr-CH"/>
              </w:rPr>
            </w:pPr>
            <w:r w:rsidRPr="002D0D60">
              <w:rPr>
                <w:lang w:val="fr-CH"/>
              </w:rPr>
              <w:t>CN</w:t>
            </w:r>
          </w:p>
        </w:tc>
        <w:tc>
          <w:tcPr>
            <w:tcW w:w="5362" w:type="dxa"/>
          </w:tcPr>
          <w:p w14:paraId="434B06C5" w14:textId="31D191DE" w:rsidR="003D411E" w:rsidRPr="002D0D60" w:rsidRDefault="00BD7878" w:rsidP="003D411E">
            <w:pPr>
              <w:rPr>
                <w:lang w:val="fr-CH"/>
              </w:rPr>
            </w:pPr>
            <w:r w:rsidRPr="002D0D60">
              <w:rPr>
                <w:lang w:val="fr-CH"/>
              </w:rPr>
              <w:t>Centrale nucléaire</w:t>
            </w:r>
          </w:p>
        </w:tc>
      </w:tr>
      <w:tr w:rsidR="003D411E" w:rsidRPr="001C7CE8" w14:paraId="3BB592DB" w14:textId="77777777" w:rsidTr="000F43D7">
        <w:tc>
          <w:tcPr>
            <w:tcW w:w="2093" w:type="dxa"/>
          </w:tcPr>
          <w:p w14:paraId="696B8FB3" w14:textId="56B2FA2D" w:rsidR="003D411E" w:rsidRPr="002D0D60" w:rsidRDefault="00BD7878" w:rsidP="00BD7878">
            <w:pPr>
              <w:rPr>
                <w:lang w:val="fr-CH"/>
              </w:rPr>
            </w:pPr>
            <w:r w:rsidRPr="002D0D60">
              <w:rPr>
                <w:lang w:val="fr-CH"/>
              </w:rPr>
              <w:t xml:space="preserve">Procédure </w:t>
            </w:r>
            <w:r w:rsidR="003D411E" w:rsidRPr="002D0D60">
              <w:rPr>
                <w:lang w:val="fr-CH"/>
              </w:rPr>
              <w:t xml:space="preserve">Beznau </w:t>
            </w:r>
          </w:p>
        </w:tc>
        <w:tc>
          <w:tcPr>
            <w:tcW w:w="5362" w:type="dxa"/>
          </w:tcPr>
          <w:p w14:paraId="5E74A39C" w14:textId="5F1EEEED" w:rsidR="003D411E" w:rsidRPr="002D0D60" w:rsidRDefault="007D3D31" w:rsidP="00407F55">
            <w:pPr>
              <w:rPr>
                <w:lang w:val="fr-CH"/>
              </w:rPr>
            </w:pPr>
            <w:r w:rsidRPr="002D0D60">
              <w:rPr>
                <w:lang w:val="fr-CH"/>
              </w:rPr>
              <w:t>Procédure judiciaire en cours lancée par les riverains et diverses organisations environ</w:t>
            </w:r>
            <w:r w:rsidR="00E123A7" w:rsidRPr="002D0D60">
              <w:rPr>
                <w:lang w:val="fr-CH"/>
              </w:rPr>
              <w:t xml:space="preserve">nementales, contre l’IFSN et </w:t>
            </w:r>
            <w:r w:rsidR="00F502BB" w:rsidRPr="002D0D60">
              <w:rPr>
                <w:lang w:val="fr-CH"/>
              </w:rPr>
              <w:t>Axpo</w:t>
            </w:r>
          </w:p>
        </w:tc>
      </w:tr>
      <w:tr w:rsidR="003D411E" w:rsidRPr="001C7CE8" w14:paraId="1A38B630" w14:textId="77777777" w:rsidTr="003D411E">
        <w:tc>
          <w:tcPr>
            <w:tcW w:w="2093" w:type="dxa"/>
          </w:tcPr>
          <w:p w14:paraId="6B481749" w14:textId="35A6DDA8" w:rsidR="003D411E" w:rsidRPr="002D0D60" w:rsidRDefault="00E123A7" w:rsidP="003D411E">
            <w:pPr>
              <w:rPr>
                <w:lang w:val="fr-CH"/>
              </w:rPr>
            </w:pPr>
            <w:r w:rsidRPr="002D0D60">
              <w:rPr>
                <w:lang w:val="fr-CH"/>
              </w:rPr>
              <w:t>IFSN</w:t>
            </w:r>
          </w:p>
        </w:tc>
        <w:tc>
          <w:tcPr>
            <w:tcW w:w="5362" w:type="dxa"/>
          </w:tcPr>
          <w:p w14:paraId="47B23219" w14:textId="3BA12593" w:rsidR="003D411E" w:rsidRPr="002D0D60" w:rsidRDefault="00E123A7" w:rsidP="003D411E">
            <w:pPr>
              <w:rPr>
                <w:lang w:val="fr-CH"/>
              </w:rPr>
            </w:pPr>
            <w:r w:rsidRPr="002D0D60">
              <w:rPr>
                <w:lang w:val="fr-CH"/>
              </w:rPr>
              <w:t>Inspection fédérale de la sécurité nucléaire</w:t>
            </w:r>
          </w:p>
        </w:tc>
      </w:tr>
      <w:tr w:rsidR="00106605" w:rsidRPr="002D0D60" w14:paraId="3BF9B2A7" w14:textId="77777777" w:rsidTr="00877252">
        <w:trPr>
          <w:trHeight w:val="286"/>
        </w:trPr>
        <w:tc>
          <w:tcPr>
            <w:tcW w:w="2093" w:type="dxa"/>
          </w:tcPr>
          <w:p w14:paraId="5E7B3F20" w14:textId="2C258461" w:rsidR="00106605" w:rsidRPr="002D0D60" w:rsidRDefault="00420E4E" w:rsidP="003D411E">
            <w:pPr>
              <w:rPr>
                <w:lang w:val="fr-CH"/>
              </w:rPr>
            </w:pPr>
            <w:r w:rsidRPr="002D0D60">
              <w:rPr>
                <w:lang w:val="fr-CH"/>
              </w:rPr>
              <w:t>LENu</w:t>
            </w:r>
          </w:p>
        </w:tc>
        <w:tc>
          <w:tcPr>
            <w:tcW w:w="5362" w:type="dxa"/>
          </w:tcPr>
          <w:p w14:paraId="3931864B" w14:textId="70A52244" w:rsidR="00106605" w:rsidRPr="002D0D60" w:rsidRDefault="00877252" w:rsidP="003D411E">
            <w:pPr>
              <w:rPr>
                <w:lang w:val="fr-CH"/>
              </w:rPr>
            </w:pPr>
            <w:r w:rsidRPr="002D0D60">
              <w:rPr>
                <w:lang w:val="fr-CH"/>
              </w:rPr>
              <w:t>RS</w:t>
            </w:r>
            <w:r w:rsidR="00316B74" w:rsidRPr="002D0D60">
              <w:rPr>
                <w:lang w:val="fr-CH"/>
              </w:rPr>
              <w:t xml:space="preserve"> 732.1 </w:t>
            </w:r>
            <w:r w:rsidR="00420E4E" w:rsidRPr="002D0D60">
              <w:rPr>
                <w:lang w:val="fr-CH"/>
              </w:rPr>
              <w:t>Loi sur l</w:t>
            </w:r>
            <w:r w:rsidR="00537A2D" w:rsidRPr="002D0D60">
              <w:rPr>
                <w:lang w:val="fr-CH"/>
              </w:rPr>
              <w:t>’</w:t>
            </w:r>
            <w:r w:rsidR="00420E4E" w:rsidRPr="002D0D60">
              <w:rPr>
                <w:lang w:val="fr-CH"/>
              </w:rPr>
              <w:t>énergie nucléaire</w:t>
            </w:r>
          </w:p>
        </w:tc>
      </w:tr>
      <w:tr w:rsidR="00106605" w:rsidRPr="001C7CE8" w14:paraId="5ADF7D71" w14:textId="77777777" w:rsidTr="00537A2D">
        <w:trPr>
          <w:trHeight w:val="300"/>
        </w:trPr>
        <w:tc>
          <w:tcPr>
            <w:tcW w:w="2093" w:type="dxa"/>
          </w:tcPr>
          <w:p w14:paraId="4554E2A9" w14:textId="2E398005" w:rsidR="00106605" w:rsidRPr="002D0D60" w:rsidRDefault="004143C0" w:rsidP="003D411E">
            <w:pPr>
              <w:rPr>
                <w:lang w:val="fr-CH"/>
              </w:rPr>
            </w:pPr>
            <w:r w:rsidRPr="002D0D60">
              <w:rPr>
                <w:lang w:val="fr-CH"/>
              </w:rPr>
              <w:t>OENu</w:t>
            </w:r>
          </w:p>
        </w:tc>
        <w:tc>
          <w:tcPr>
            <w:tcW w:w="5362" w:type="dxa"/>
          </w:tcPr>
          <w:p w14:paraId="64884582" w14:textId="251D79A1" w:rsidR="00106605" w:rsidRPr="002D0D60" w:rsidRDefault="00877252" w:rsidP="003D411E">
            <w:pPr>
              <w:rPr>
                <w:lang w:val="fr-CH"/>
              </w:rPr>
            </w:pPr>
            <w:r w:rsidRPr="002D0D60">
              <w:rPr>
                <w:lang w:val="fr-CH"/>
              </w:rPr>
              <w:t>RS</w:t>
            </w:r>
            <w:r w:rsidR="00316B74" w:rsidRPr="002D0D60">
              <w:rPr>
                <w:lang w:val="fr-CH"/>
              </w:rPr>
              <w:t xml:space="preserve"> 732.11 </w:t>
            </w:r>
            <w:r w:rsidR="004143C0" w:rsidRPr="002D0D60">
              <w:rPr>
                <w:lang w:val="fr-CH"/>
              </w:rPr>
              <w:t>Ordonnance sur l’énergie nucléaire</w:t>
            </w:r>
            <w:r w:rsidR="00316B74" w:rsidRPr="002D0D60">
              <w:rPr>
                <w:lang w:val="fr-CH"/>
              </w:rPr>
              <w:t xml:space="preserve"> </w:t>
            </w:r>
          </w:p>
        </w:tc>
      </w:tr>
      <w:tr w:rsidR="00316B74" w:rsidRPr="001C7CE8" w14:paraId="1B09ED9A" w14:textId="77777777" w:rsidTr="00326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2093" w:type="dxa"/>
            <w:tcBorders>
              <w:top w:val="nil"/>
              <w:left w:val="nil"/>
              <w:bottom w:val="nil"/>
              <w:right w:val="nil"/>
            </w:tcBorders>
          </w:tcPr>
          <w:p w14:paraId="5120B4A1" w14:textId="3EF6C2F3" w:rsidR="00316B74" w:rsidRPr="002D0D60" w:rsidRDefault="00537A2D" w:rsidP="002B7319">
            <w:pPr>
              <w:rPr>
                <w:lang w:val="fr-CH"/>
              </w:rPr>
            </w:pPr>
            <w:r w:rsidRPr="002D0D60">
              <w:rPr>
                <w:lang w:val="fr-CH"/>
              </w:rPr>
              <w:t>ORaP</w:t>
            </w:r>
          </w:p>
        </w:tc>
        <w:tc>
          <w:tcPr>
            <w:tcW w:w="5362" w:type="dxa"/>
            <w:tcBorders>
              <w:top w:val="nil"/>
              <w:left w:val="nil"/>
              <w:bottom w:val="nil"/>
              <w:right w:val="nil"/>
            </w:tcBorders>
          </w:tcPr>
          <w:p w14:paraId="6EBE7135" w14:textId="3DB4CD7E" w:rsidR="00316B74" w:rsidRPr="002D0D60" w:rsidRDefault="00877252" w:rsidP="002B7319">
            <w:pPr>
              <w:rPr>
                <w:lang w:val="fr-CH"/>
              </w:rPr>
            </w:pPr>
            <w:r w:rsidRPr="002D0D60">
              <w:rPr>
                <w:lang w:val="fr-CH"/>
              </w:rPr>
              <w:t>RS</w:t>
            </w:r>
            <w:r w:rsidR="00316B74" w:rsidRPr="002D0D60">
              <w:rPr>
                <w:lang w:val="fr-CH"/>
              </w:rPr>
              <w:t xml:space="preserve"> 814.501 </w:t>
            </w:r>
            <w:r w:rsidR="00C55CAE" w:rsidRPr="002D0D60">
              <w:rPr>
                <w:lang w:val="fr-CH"/>
              </w:rPr>
              <w:t>Ordonnance sur la radioprotection</w:t>
            </w:r>
          </w:p>
        </w:tc>
      </w:tr>
    </w:tbl>
    <w:p w14:paraId="28B26A9C" w14:textId="77777777" w:rsidR="003D411E" w:rsidRPr="002D0D60" w:rsidRDefault="003D411E" w:rsidP="00316B74">
      <w:pPr>
        <w:rPr>
          <w:rStyle w:val="Schwachhervorheb"/>
          <w:i w:val="0"/>
          <w:lang w:val="fr-CH"/>
        </w:rPr>
      </w:pPr>
    </w:p>
    <w:sectPr w:rsidR="003D411E" w:rsidRPr="002D0D60" w:rsidSect="00280755">
      <w:footerReference w:type="default" r:id="rId11"/>
      <w:pgSz w:w="11906" w:h="16838" w:code="9"/>
      <w:pgMar w:top="2509" w:right="1416" w:bottom="1531" w:left="3175" w:header="573" w:footer="76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D873A" w14:textId="77777777" w:rsidR="00B503D2" w:rsidRDefault="00B503D2" w:rsidP="00DE726F">
      <w:pPr>
        <w:spacing w:line="240" w:lineRule="auto"/>
      </w:pPr>
      <w:r>
        <w:separator/>
      </w:r>
    </w:p>
  </w:endnote>
  <w:endnote w:type="continuationSeparator" w:id="0">
    <w:p w14:paraId="1E52B1C1" w14:textId="77777777" w:rsidR="00B503D2" w:rsidRDefault="00B503D2" w:rsidP="00DE7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07273" w14:textId="0025AFDD" w:rsidR="00560EBB" w:rsidRPr="00F06231" w:rsidRDefault="00560EBB" w:rsidP="00C82843">
    <w:pPr>
      <w:rPr>
        <w:lang w:val="fr-CH"/>
      </w:rPr>
    </w:pPr>
    <w:r w:rsidRPr="00F06231">
      <w:rPr>
        <w:lang w:val="fr-CH"/>
      </w:rPr>
      <w:t xml:space="preserve">Page </w:t>
    </w:r>
    <w:r w:rsidRPr="00F06231">
      <w:rPr>
        <w:lang w:val="fr-CH"/>
      </w:rPr>
      <w:fldChar w:fldCharType="begin"/>
    </w:r>
    <w:r w:rsidRPr="00F06231">
      <w:rPr>
        <w:lang w:val="fr-CH"/>
      </w:rPr>
      <w:instrText>PAGE  \* Arabic  \* MERGEFORMAT</w:instrText>
    </w:r>
    <w:r w:rsidRPr="00F06231">
      <w:rPr>
        <w:lang w:val="fr-CH"/>
      </w:rPr>
      <w:fldChar w:fldCharType="separate"/>
    </w:r>
    <w:r w:rsidR="005E7D0A">
      <w:rPr>
        <w:noProof/>
        <w:lang w:val="fr-CH"/>
      </w:rPr>
      <w:t>2</w:t>
    </w:r>
    <w:r w:rsidRPr="00F06231">
      <w:rPr>
        <w:lang w:val="fr-CH"/>
      </w:rPr>
      <w:fldChar w:fldCharType="end"/>
    </w:r>
    <w:r w:rsidRPr="00F06231">
      <w:rPr>
        <w:lang w:val="fr-CH"/>
      </w:rPr>
      <w:t>/</w:t>
    </w:r>
    <w:r w:rsidRPr="00F06231">
      <w:rPr>
        <w:lang w:val="fr-CH"/>
      </w:rPr>
      <w:fldChar w:fldCharType="begin"/>
    </w:r>
    <w:r w:rsidRPr="00F06231">
      <w:rPr>
        <w:lang w:val="fr-CH"/>
      </w:rPr>
      <w:instrText>NUMPAGES  \* Arabic  \* MERGEFORMAT</w:instrText>
    </w:r>
    <w:r w:rsidRPr="00F06231">
      <w:rPr>
        <w:lang w:val="fr-CH"/>
      </w:rPr>
      <w:fldChar w:fldCharType="separate"/>
    </w:r>
    <w:r w:rsidR="005E7D0A">
      <w:rPr>
        <w:noProof/>
        <w:lang w:val="fr-CH"/>
      </w:rPr>
      <w:t>21</w:t>
    </w:r>
    <w:r w:rsidRPr="00F06231">
      <w:rPr>
        <w:noProof/>
        <w:lang w:val="fr-CH"/>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9359F" w14:textId="77777777" w:rsidR="00B503D2" w:rsidRDefault="00B503D2" w:rsidP="00DE726F">
      <w:pPr>
        <w:spacing w:line="240" w:lineRule="auto"/>
      </w:pPr>
      <w:r>
        <w:separator/>
      </w:r>
    </w:p>
  </w:footnote>
  <w:footnote w:type="continuationSeparator" w:id="0">
    <w:p w14:paraId="4002A427" w14:textId="77777777" w:rsidR="00B503D2" w:rsidRDefault="00B503D2" w:rsidP="00DE726F">
      <w:pPr>
        <w:spacing w:line="240" w:lineRule="auto"/>
      </w:pPr>
      <w:r>
        <w:continuationSeparator/>
      </w:r>
    </w:p>
  </w:footnote>
  <w:footnote w:id="1">
    <w:p w14:paraId="287DE63C" w14:textId="0E43AD28" w:rsidR="00560EBB" w:rsidRPr="00762EAA" w:rsidRDefault="00560EBB">
      <w:pPr>
        <w:pStyle w:val="Funotentext"/>
        <w:rPr>
          <w:sz w:val="18"/>
          <w:szCs w:val="18"/>
          <w:lang w:val="fr-CH"/>
        </w:rPr>
      </w:pPr>
      <w:r w:rsidRPr="00762EAA">
        <w:rPr>
          <w:sz w:val="18"/>
          <w:szCs w:val="18"/>
          <w:vertAlign w:val="superscript"/>
          <w:lang w:val="fr-CH"/>
        </w:rPr>
        <w:footnoteRef/>
      </w:r>
      <w:r w:rsidRPr="00762EAA">
        <w:rPr>
          <w:sz w:val="18"/>
          <w:szCs w:val="18"/>
          <w:lang w:val="fr-CH"/>
        </w:rPr>
        <w:t xml:space="preserve"> </w:t>
      </w:r>
      <w:r>
        <w:rPr>
          <w:sz w:val="18"/>
          <w:szCs w:val="18"/>
          <w:lang w:val="fr-CH"/>
        </w:rPr>
        <w:t xml:space="preserve">Voir par ex. le discours télévisé de la conseillère fédérale </w:t>
      </w:r>
      <w:r w:rsidRPr="00762EAA">
        <w:rPr>
          <w:sz w:val="18"/>
          <w:szCs w:val="18"/>
          <w:lang w:val="fr-CH"/>
        </w:rPr>
        <w:t>Doris Leuthard</w:t>
      </w:r>
      <w:r>
        <w:rPr>
          <w:sz w:val="18"/>
          <w:szCs w:val="18"/>
          <w:lang w:val="fr-CH"/>
        </w:rPr>
        <w:t xml:space="preserve"> à propos de la votation populaire sur l’initiative pour la sortie du nucléaire sur la chaîne </w:t>
      </w:r>
      <w:r w:rsidRPr="00762EAA">
        <w:rPr>
          <w:sz w:val="18"/>
          <w:szCs w:val="18"/>
          <w:lang w:val="fr-CH"/>
        </w:rPr>
        <w:t>SRF 1</w:t>
      </w:r>
      <w:r>
        <w:rPr>
          <w:sz w:val="18"/>
          <w:szCs w:val="18"/>
          <w:lang w:val="fr-CH"/>
        </w:rPr>
        <w:t>, le</w:t>
      </w:r>
      <w:r w:rsidRPr="00762EAA">
        <w:rPr>
          <w:sz w:val="18"/>
          <w:szCs w:val="18"/>
          <w:lang w:val="fr-CH"/>
        </w:rPr>
        <w:t xml:space="preserve"> 14.11.2016 </w:t>
      </w:r>
    </w:p>
  </w:footnote>
  <w:footnote w:id="2">
    <w:p w14:paraId="2360845C" w14:textId="18D56CF6" w:rsidR="00560EBB" w:rsidRPr="00762EAA" w:rsidRDefault="00560EBB">
      <w:pPr>
        <w:pStyle w:val="Funotentext"/>
        <w:rPr>
          <w:sz w:val="18"/>
          <w:szCs w:val="18"/>
          <w:lang w:val="fr-CH"/>
        </w:rPr>
      </w:pPr>
      <w:r w:rsidRPr="00762EAA">
        <w:rPr>
          <w:rStyle w:val="Funotenzeichen"/>
          <w:sz w:val="18"/>
          <w:szCs w:val="18"/>
          <w:lang w:val="fr-CH"/>
        </w:rPr>
        <w:footnoteRef/>
      </w:r>
      <w:r w:rsidRPr="00762EAA">
        <w:rPr>
          <w:sz w:val="18"/>
          <w:szCs w:val="18"/>
          <w:lang w:val="fr-CH"/>
        </w:rPr>
        <w:t xml:space="preserve"> </w:t>
      </w:r>
      <w:r>
        <w:rPr>
          <w:sz w:val="18"/>
          <w:szCs w:val="18"/>
          <w:lang w:val="fr-CH"/>
        </w:rPr>
        <w:t xml:space="preserve">Arrêt du TF </w:t>
      </w:r>
      <w:r w:rsidR="00B05EED" w:rsidRPr="00FB4149">
        <w:rPr>
          <w:sz w:val="18"/>
          <w:szCs w:val="18"/>
        </w:rPr>
        <w:t>140 II 315, E. 4.8, S. 330 f.</w:t>
      </w:r>
    </w:p>
  </w:footnote>
  <w:footnote w:id="3">
    <w:p w14:paraId="441F7E42" w14:textId="1C4A68B7" w:rsidR="00560EBB" w:rsidRPr="00762EAA" w:rsidRDefault="00560EBB">
      <w:pPr>
        <w:pStyle w:val="Funotentext"/>
        <w:rPr>
          <w:sz w:val="18"/>
          <w:szCs w:val="18"/>
          <w:lang w:val="fr-CH"/>
        </w:rPr>
      </w:pPr>
      <w:r w:rsidRPr="00762EAA">
        <w:rPr>
          <w:rStyle w:val="Funotenzeichen"/>
          <w:sz w:val="18"/>
          <w:szCs w:val="18"/>
          <w:lang w:val="fr-CH"/>
        </w:rPr>
        <w:footnoteRef/>
      </w:r>
      <w:r w:rsidRPr="00762EAA">
        <w:rPr>
          <w:sz w:val="18"/>
          <w:szCs w:val="18"/>
          <w:lang w:val="fr-CH"/>
        </w:rPr>
        <w:t xml:space="preserve"> </w:t>
      </w:r>
      <w:r w:rsidRPr="0017715A">
        <w:rPr>
          <w:sz w:val="18"/>
          <w:szCs w:val="18"/>
          <w:lang w:val="fr-CH"/>
        </w:rPr>
        <w:t>Rapport explicatif sur la révision partielle de l’ordonnance sur l’énergie nucléaire, de l’ordonnance sur la responsabilité civile en matière nucléaire, de l’ordonnance sur la mise hors service d’une centrale nucléaire et de l’ordonnan</w:t>
      </w:r>
      <w:r>
        <w:rPr>
          <w:sz w:val="18"/>
          <w:szCs w:val="18"/>
          <w:lang w:val="fr-CH"/>
        </w:rPr>
        <w:t>ce sur les hypothèses de risque : p. </w:t>
      </w:r>
      <w:r w:rsidRPr="00762EAA">
        <w:rPr>
          <w:sz w:val="18"/>
          <w:szCs w:val="18"/>
          <w:lang w:val="fr-CH"/>
        </w:rPr>
        <w:t>3</w:t>
      </w:r>
    </w:p>
  </w:footnote>
  <w:footnote w:id="4">
    <w:p w14:paraId="6428FBEF" w14:textId="117A83A2" w:rsidR="00560EBB" w:rsidRPr="00762EAA" w:rsidRDefault="00560EBB" w:rsidP="00106605">
      <w:pPr>
        <w:pStyle w:val="Funotentext"/>
        <w:rPr>
          <w:sz w:val="18"/>
          <w:szCs w:val="18"/>
          <w:lang w:val="fr-CH"/>
        </w:rPr>
      </w:pPr>
      <w:r w:rsidRPr="00762EAA">
        <w:rPr>
          <w:rStyle w:val="Funotenzeichen"/>
          <w:sz w:val="18"/>
          <w:szCs w:val="18"/>
          <w:lang w:val="fr-CH"/>
        </w:rPr>
        <w:footnoteRef/>
      </w:r>
      <w:r>
        <w:rPr>
          <w:sz w:val="18"/>
          <w:szCs w:val="18"/>
          <w:lang w:val="fr-CH"/>
        </w:rPr>
        <w:t xml:space="preserve"> Ibidem : p. 3</w:t>
      </w:r>
    </w:p>
  </w:footnote>
  <w:footnote w:id="5">
    <w:p w14:paraId="6B7D8C4B" w14:textId="7B222E58" w:rsidR="00560EBB" w:rsidRPr="00762EAA" w:rsidRDefault="00560EBB">
      <w:pPr>
        <w:pStyle w:val="Funotentext"/>
        <w:rPr>
          <w:sz w:val="18"/>
          <w:szCs w:val="18"/>
          <w:lang w:val="fr-CH"/>
        </w:rPr>
      </w:pPr>
      <w:r w:rsidRPr="00762EAA">
        <w:rPr>
          <w:rStyle w:val="Funotenzeichen"/>
          <w:sz w:val="18"/>
          <w:szCs w:val="18"/>
          <w:lang w:val="fr-CH"/>
        </w:rPr>
        <w:footnoteRef/>
      </w:r>
      <w:r w:rsidRPr="00762EAA">
        <w:rPr>
          <w:sz w:val="18"/>
          <w:szCs w:val="18"/>
          <w:lang w:val="fr-CH"/>
        </w:rPr>
        <w:t xml:space="preserve"> </w:t>
      </w:r>
      <w:r>
        <w:rPr>
          <w:sz w:val="18"/>
          <w:szCs w:val="18"/>
          <w:lang w:val="fr-CH"/>
        </w:rPr>
        <w:t>Ibidem : p.</w:t>
      </w:r>
      <w:r w:rsidRPr="00762EAA">
        <w:rPr>
          <w:sz w:val="18"/>
          <w:szCs w:val="18"/>
          <w:lang w:val="fr-CH"/>
        </w:rPr>
        <w:t xml:space="preserve"> 3</w:t>
      </w:r>
    </w:p>
  </w:footnote>
  <w:footnote w:id="6">
    <w:p w14:paraId="2C687860" w14:textId="6D744238" w:rsidR="00560EBB" w:rsidRPr="00762EAA" w:rsidRDefault="00560EBB">
      <w:pPr>
        <w:pStyle w:val="Funotentext"/>
        <w:rPr>
          <w:sz w:val="18"/>
          <w:szCs w:val="18"/>
          <w:lang w:val="fr-CH"/>
        </w:rPr>
      </w:pPr>
      <w:r w:rsidRPr="00762EAA">
        <w:rPr>
          <w:rStyle w:val="Funotenzeichen"/>
          <w:sz w:val="18"/>
          <w:szCs w:val="18"/>
          <w:lang w:val="fr-CH"/>
        </w:rPr>
        <w:footnoteRef/>
      </w:r>
      <w:r w:rsidRPr="00762EAA">
        <w:rPr>
          <w:sz w:val="18"/>
          <w:szCs w:val="18"/>
          <w:lang w:val="fr-CH"/>
        </w:rPr>
        <w:t xml:space="preserve"> </w:t>
      </w:r>
      <w:r>
        <w:rPr>
          <w:sz w:val="18"/>
          <w:szCs w:val="18"/>
          <w:lang w:val="fr-CH"/>
        </w:rPr>
        <w:t>Ibidem : p.</w:t>
      </w:r>
      <w:r w:rsidRPr="00762EAA">
        <w:rPr>
          <w:sz w:val="18"/>
          <w:szCs w:val="18"/>
          <w:lang w:val="fr-CH"/>
        </w:rPr>
        <w:t xml:space="preserve"> 3</w:t>
      </w:r>
    </w:p>
  </w:footnote>
  <w:footnote w:id="7">
    <w:p w14:paraId="68677DF7" w14:textId="70A002A8" w:rsidR="00560EBB" w:rsidRPr="00762EAA" w:rsidRDefault="00560EBB">
      <w:pPr>
        <w:pStyle w:val="Funotentext"/>
        <w:rPr>
          <w:sz w:val="18"/>
          <w:szCs w:val="18"/>
          <w:lang w:val="fr-CH"/>
        </w:rPr>
      </w:pPr>
      <w:r w:rsidRPr="00762EAA">
        <w:rPr>
          <w:rStyle w:val="Funotenzeichen"/>
          <w:sz w:val="18"/>
          <w:szCs w:val="18"/>
          <w:lang w:val="fr-CH"/>
        </w:rPr>
        <w:footnoteRef/>
      </w:r>
      <w:r w:rsidRPr="00762EAA">
        <w:rPr>
          <w:sz w:val="18"/>
          <w:szCs w:val="18"/>
          <w:lang w:val="fr-CH"/>
        </w:rPr>
        <w:t xml:space="preserve"> </w:t>
      </w:r>
      <w:r>
        <w:rPr>
          <w:sz w:val="18"/>
          <w:szCs w:val="18"/>
          <w:lang w:val="fr-CH"/>
        </w:rPr>
        <w:t>Ibidem : p.</w:t>
      </w:r>
      <w:r w:rsidRPr="00762EAA">
        <w:rPr>
          <w:sz w:val="18"/>
          <w:szCs w:val="18"/>
          <w:lang w:val="fr-CH"/>
        </w:rPr>
        <w:t xml:space="preserve"> 2</w:t>
      </w:r>
    </w:p>
  </w:footnote>
  <w:footnote w:id="8">
    <w:p w14:paraId="3430EDD7" w14:textId="44CF6A2B" w:rsidR="00560EBB" w:rsidRPr="00762EAA" w:rsidRDefault="00560EBB" w:rsidP="00B62C90">
      <w:pPr>
        <w:pStyle w:val="Funotentext"/>
        <w:rPr>
          <w:sz w:val="18"/>
          <w:szCs w:val="18"/>
          <w:lang w:val="fr-CH"/>
        </w:rPr>
      </w:pPr>
      <w:r w:rsidRPr="00762EAA">
        <w:rPr>
          <w:rStyle w:val="Funotenzeichen"/>
          <w:sz w:val="18"/>
          <w:szCs w:val="18"/>
          <w:lang w:val="fr-CH"/>
        </w:rPr>
        <w:footnoteRef/>
      </w:r>
      <w:r w:rsidRPr="00762EAA">
        <w:rPr>
          <w:sz w:val="18"/>
          <w:szCs w:val="18"/>
          <w:lang w:val="fr-CH"/>
        </w:rPr>
        <w:t xml:space="preserve"> </w:t>
      </w:r>
      <w:r>
        <w:rPr>
          <w:sz w:val="18"/>
          <w:szCs w:val="18"/>
          <w:lang w:val="fr-CH"/>
        </w:rPr>
        <w:t>Ibidem : p.</w:t>
      </w:r>
      <w:r w:rsidRPr="00762EAA">
        <w:rPr>
          <w:sz w:val="18"/>
          <w:szCs w:val="18"/>
          <w:lang w:val="fr-CH"/>
        </w:rPr>
        <w:t xml:space="preserve"> 3</w:t>
      </w:r>
    </w:p>
  </w:footnote>
  <w:footnote w:id="9">
    <w:p w14:paraId="2D7625AD" w14:textId="0CF472D1" w:rsidR="00560EBB" w:rsidRPr="00762EAA" w:rsidRDefault="00560EBB">
      <w:pPr>
        <w:pStyle w:val="Funotentext"/>
        <w:rPr>
          <w:lang w:val="fr-CH"/>
        </w:rPr>
      </w:pPr>
      <w:r w:rsidRPr="00762EAA">
        <w:rPr>
          <w:rStyle w:val="Funotenzeichen"/>
          <w:sz w:val="18"/>
          <w:szCs w:val="18"/>
          <w:lang w:val="fr-CH"/>
        </w:rPr>
        <w:footnoteRef/>
      </w:r>
      <w:r w:rsidRPr="00762EAA">
        <w:rPr>
          <w:lang w:val="fr-CH"/>
        </w:rPr>
        <w:t xml:space="preserve"> </w:t>
      </w:r>
      <w:r>
        <w:rPr>
          <w:sz w:val="18"/>
          <w:szCs w:val="18"/>
          <w:lang w:val="fr-CH"/>
        </w:rPr>
        <w:t>RS</w:t>
      </w:r>
      <w:r w:rsidRPr="00762EAA">
        <w:rPr>
          <w:sz w:val="18"/>
          <w:szCs w:val="18"/>
          <w:lang w:val="fr-CH"/>
        </w:rPr>
        <w:t xml:space="preserve"> 0.732.020</w:t>
      </w:r>
    </w:p>
  </w:footnote>
  <w:footnote w:id="10">
    <w:p w14:paraId="542114C4" w14:textId="310F32AE" w:rsidR="00560EBB" w:rsidRPr="00762EAA" w:rsidRDefault="00560EBB" w:rsidP="00167F0C">
      <w:pPr>
        <w:pStyle w:val="Funotentext"/>
        <w:rPr>
          <w:sz w:val="18"/>
          <w:szCs w:val="18"/>
          <w:lang w:val="fr-CH"/>
        </w:rPr>
      </w:pPr>
      <w:r w:rsidRPr="00762EAA">
        <w:rPr>
          <w:rStyle w:val="Funotenzeichen"/>
          <w:sz w:val="18"/>
          <w:szCs w:val="18"/>
          <w:lang w:val="fr-CH"/>
        </w:rPr>
        <w:footnoteRef/>
      </w:r>
      <w:r w:rsidRPr="00762EAA">
        <w:rPr>
          <w:sz w:val="18"/>
          <w:szCs w:val="18"/>
          <w:lang w:val="fr-CH"/>
        </w:rPr>
        <w:t xml:space="preserve"> </w:t>
      </w:r>
      <w:r>
        <w:rPr>
          <w:sz w:val="18"/>
          <w:szCs w:val="18"/>
          <w:lang w:val="fr-CH"/>
        </w:rPr>
        <w:t>Office fédéral de l’énergie, Ordonnance du DETEC sur la mé</w:t>
      </w:r>
      <w:r w:rsidRPr="00A6581C">
        <w:rPr>
          <w:sz w:val="18"/>
          <w:szCs w:val="18"/>
          <w:lang w:val="fr-CH"/>
        </w:rPr>
        <w:t>thode et sur les standards de vérification des critères de la</w:t>
      </w:r>
      <w:r>
        <w:rPr>
          <w:sz w:val="18"/>
          <w:szCs w:val="18"/>
          <w:lang w:val="fr-CH"/>
        </w:rPr>
        <w:t xml:space="preserve"> mise hors service provisoire d’</w:t>
      </w:r>
      <w:r w:rsidRPr="00A6581C">
        <w:rPr>
          <w:sz w:val="18"/>
          <w:szCs w:val="18"/>
          <w:lang w:val="fr-CH"/>
        </w:rPr>
        <w:t>une centrale nucléaire</w:t>
      </w:r>
      <w:r>
        <w:rPr>
          <w:sz w:val="18"/>
          <w:szCs w:val="18"/>
          <w:lang w:val="fr-CH"/>
        </w:rPr>
        <w:t>, Rapport explicatif, juin 2007, p</w:t>
      </w:r>
      <w:r w:rsidRPr="00762EAA">
        <w:rPr>
          <w:sz w:val="18"/>
          <w:szCs w:val="18"/>
          <w:lang w:val="fr-CH"/>
        </w:rPr>
        <w:t>. 2</w:t>
      </w:r>
      <w:r>
        <w:rPr>
          <w:sz w:val="18"/>
          <w:szCs w:val="18"/>
          <w:lang w:val="fr-CH"/>
        </w:rPr>
        <w:t xml:space="preserve">s., notamment : « - </w:t>
      </w:r>
      <w:r w:rsidRPr="009E7481">
        <w:rPr>
          <w:sz w:val="18"/>
          <w:szCs w:val="18"/>
          <w:lang w:val="fr-CH"/>
        </w:rPr>
        <w:t>Erreur de conception</w:t>
      </w:r>
      <w:r>
        <w:rPr>
          <w:sz w:val="18"/>
          <w:szCs w:val="18"/>
          <w:lang w:val="fr-CH"/>
        </w:rPr>
        <w:t> : l’autorisation d’</w:t>
      </w:r>
      <w:r w:rsidRPr="009E7481">
        <w:rPr>
          <w:sz w:val="18"/>
          <w:szCs w:val="18"/>
          <w:lang w:val="fr-CH"/>
        </w:rPr>
        <w:t>exploiter une centrale nucléaire est accordée selon les bases de conception. Il se peut que la concep</w:t>
      </w:r>
      <w:r>
        <w:rPr>
          <w:sz w:val="18"/>
          <w:szCs w:val="18"/>
          <w:lang w:val="fr-CH"/>
        </w:rPr>
        <w:t>tion initiale soit erronée en l’</w:t>
      </w:r>
      <w:r w:rsidRPr="009E7481">
        <w:rPr>
          <w:sz w:val="18"/>
          <w:szCs w:val="18"/>
          <w:lang w:val="fr-CH"/>
        </w:rPr>
        <w:t>état actuel des connaissances et que la centrale nucléaire ne se comporte donc pas c</w:t>
      </w:r>
      <w:r>
        <w:rPr>
          <w:sz w:val="18"/>
          <w:szCs w:val="18"/>
          <w:lang w:val="fr-CH"/>
        </w:rPr>
        <w:t>omme prévu. Les er</w:t>
      </w:r>
      <w:r w:rsidRPr="009E7481">
        <w:rPr>
          <w:sz w:val="18"/>
          <w:szCs w:val="18"/>
          <w:lang w:val="fr-CH"/>
        </w:rPr>
        <w:t>reurs de conception ne</w:t>
      </w:r>
      <w:r>
        <w:rPr>
          <w:sz w:val="18"/>
          <w:szCs w:val="18"/>
          <w:lang w:val="fr-CH"/>
        </w:rPr>
        <w:t xml:space="preserve"> sont en général découvertes qu’</w:t>
      </w:r>
      <w:r w:rsidRPr="009E7481">
        <w:rPr>
          <w:sz w:val="18"/>
          <w:szCs w:val="18"/>
          <w:lang w:val="fr-CH"/>
        </w:rPr>
        <w:t xml:space="preserve">en raison d’événements, de constats ou de nouvelles avancées scientifiques. C’est pourquoi le traitement des événements joue un rôle central lors du réexamen des critères de mise hors service. Il faut prouver </w:t>
      </w:r>
      <w:r>
        <w:rPr>
          <w:sz w:val="18"/>
          <w:szCs w:val="18"/>
          <w:lang w:val="fr-CH"/>
        </w:rPr>
        <w:t>que les limites de dose selon l’</w:t>
      </w:r>
      <w:r w:rsidRPr="009E7481">
        <w:rPr>
          <w:sz w:val="18"/>
          <w:szCs w:val="18"/>
          <w:lang w:val="fr-CH"/>
        </w:rPr>
        <w:t>art.</w:t>
      </w:r>
      <w:r>
        <w:rPr>
          <w:sz w:val="18"/>
          <w:szCs w:val="18"/>
          <w:lang w:val="fr-CH"/>
        </w:rPr>
        <w:t> 94 de l’</w:t>
      </w:r>
      <w:r w:rsidRPr="009E7481">
        <w:rPr>
          <w:sz w:val="18"/>
          <w:szCs w:val="18"/>
          <w:lang w:val="fr-CH"/>
        </w:rPr>
        <w:t>ordonnance sur la radioprotecti</w:t>
      </w:r>
      <w:r>
        <w:rPr>
          <w:sz w:val="18"/>
          <w:szCs w:val="18"/>
          <w:lang w:val="fr-CH"/>
        </w:rPr>
        <w:t>on (ORaP, RS 814.501) sont res</w:t>
      </w:r>
      <w:r w:rsidRPr="009E7481">
        <w:rPr>
          <w:sz w:val="18"/>
          <w:szCs w:val="18"/>
          <w:lang w:val="fr-CH"/>
        </w:rPr>
        <w:t>pectées.</w:t>
      </w:r>
      <w:r>
        <w:rPr>
          <w:sz w:val="18"/>
          <w:szCs w:val="18"/>
          <w:lang w:val="fr-CH"/>
        </w:rPr>
        <w:t> »</w:t>
      </w:r>
    </w:p>
  </w:footnote>
  <w:footnote w:id="11">
    <w:p w14:paraId="32C8DAC1" w14:textId="423541A3" w:rsidR="00560EBB" w:rsidRPr="00762EAA" w:rsidRDefault="00560EBB" w:rsidP="008002DD">
      <w:pPr>
        <w:pStyle w:val="Funotentext"/>
        <w:rPr>
          <w:lang w:val="fr-CH"/>
        </w:rPr>
      </w:pPr>
      <w:r w:rsidRPr="00762EAA">
        <w:rPr>
          <w:rStyle w:val="Funotenzeichen"/>
          <w:sz w:val="18"/>
          <w:szCs w:val="18"/>
          <w:lang w:val="fr-CH"/>
        </w:rPr>
        <w:footnoteRef/>
      </w:r>
      <w:r w:rsidRPr="00762EAA">
        <w:rPr>
          <w:rStyle w:val="Funotenzeichen"/>
          <w:sz w:val="18"/>
          <w:szCs w:val="18"/>
          <w:lang w:val="fr-CH"/>
        </w:rPr>
        <w:t xml:space="preserve"> </w:t>
      </w:r>
      <w:r>
        <w:rPr>
          <w:sz w:val="18"/>
          <w:szCs w:val="18"/>
          <w:lang w:val="fr-CH"/>
        </w:rPr>
        <w:t>Ibidem : p.</w:t>
      </w:r>
      <w:r w:rsidRPr="00762EAA">
        <w:rPr>
          <w:sz w:val="18"/>
          <w:szCs w:val="18"/>
          <w:lang w:val="fr-CH"/>
        </w:rPr>
        <w:t xml:space="preserve"> 7</w:t>
      </w:r>
    </w:p>
  </w:footnote>
  <w:footnote w:id="12">
    <w:p w14:paraId="14267DDF" w14:textId="12C726B0" w:rsidR="00560EBB" w:rsidRPr="00762EAA" w:rsidRDefault="00560EBB" w:rsidP="00B62C90">
      <w:pPr>
        <w:pStyle w:val="Funotentext"/>
        <w:rPr>
          <w:lang w:val="fr-CH"/>
        </w:rPr>
      </w:pPr>
      <w:r w:rsidRPr="00762EAA">
        <w:rPr>
          <w:rStyle w:val="Funotenzeichen"/>
          <w:sz w:val="18"/>
          <w:szCs w:val="18"/>
          <w:lang w:val="fr-CH"/>
        </w:rPr>
        <w:footnoteRef/>
      </w:r>
      <w:r w:rsidRPr="00762EAA">
        <w:rPr>
          <w:sz w:val="18"/>
          <w:szCs w:val="18"/>
          <w:lang w:val="fr-CH"/>
        </w:rPr>
        <w:t xml:space="preserve"> </w:t>
      </w:r>
      <w:r>
        <w:rPr>
          <w:sz w:val="18"/>
          <w:szCs w:val="18"/>
          <w:lang w:val="fr-CH"/>
        </w:rPr>
        <w:t>Ibidem : p</w:t>
      </w:r>
      <w:r w:rsidRPr="00762EAA">
        <w:rPr>
          <w:sz w:val="18"/>
          <w:szCs w:val="18"/>
          <w:lang w:val="fr-CH"/>
        </w:rPr>
        <w:t>. 4</w:t>
      </w:r>
    </w:p>
  </w:footnote>
  <w:footnote w:id="13">
    <w:p w14:paraId="04F6B70D" w14:textId="201F257E" w:rsidR="00560EBB" w:rsidRPr="00762EAA" w:rsidRDefault="00560EBB" w:rsidP="00B62C90">
      <w:pPr>
        <w:pStyle w:val="Funotentext"/>
        <w:rPr>
          <w:sz w:val="18"/>
          <w:szCs w:val="18"/>
          <w:lang w:val="fr-CH"/>
        </w:rPr>
      </w:pPr>
      <w:r w:rsidRPr="00762EAA">
        <w:rPr>
          <w:rStyle w:val="Funotenzeichen"/>
          <w:sz w:val="18"/>
          <w:szCs w:val="18"/>
          <w:lang w:val="fr-CH"/>
        </w:rPr>
        <w:footnoteRef/>
      </w:r>
      <w:r w:rsidRPr="00762EAA">
        <w:rPr>
          <w:sz w:val="18"/>
          <w:szCs w:val="18"/>
          <w:lang w:val="fr-CH"/>
        </w:rPr>
        <w:t xml:space="preserve"> </w:t>
      </w:r>
      <w:r>
        <w:rPr>
          <w:sz w:val="18"/>
          <w:szCs w:val="18"/>
          <w:lang w:val="fr-CH"/>
        </w:rPr>
        <w:t>Cf. la publication « L’actualisation des hypothèses d’</w:t>
      </w:r>
      <w:r w:rsidRPr="000B075D">
        <w:rPr>
          <w:sz w:val="18"/>
          <w:szCs w:val="18"/>
          <w:lang w:val="fr-CH"/>
        </w:rPr>
        <w:t>aléa exige une nouvelle démonstration de sécurité des centrales nucléaires suisses</w:t>
      </w:r>
      <w:r>
        <w:rPr>
          <w:sz w:val="18"/>
          <w:szCs w:val="18"/>
          <w:lang w:val="fr-CH"/>
        </w:rPr>
        <w:t xml:space="preserve"> » de l’IFSN du 30 mai 2016, disponible sur : </w:t>
      </w:r>
      <w:r w:rsidRPr="00491BC6">
        <w:rPr>
          <w:sz w:val="18"/>
          <w:szCs w:val="18"/>
          <w:lang w:val="fr-CH"/>
        </w:rPr>
        <w:t>https://www.ensi.ch/fr/2016/05/30/lactualisation-hypotheses-dalea-exige-nouvelle-demonstration-de-securite-centrales-nucleaires-suisses/?noredirect=fr_FR</w:t>
      </w:r>
      <w:r w:rsidRPr="00762EAA">
        <w:rPr>
          <w:sz w:val="18"/>
          <w:szCs w:val="18"/>
          <w:lang w:val="fr-CH"/>
        </w:rPr>
        <w:t>/</w:t>
      </w:r>
    </w:p>
  </w:footnote>
  <w:footnote w:id="14">
    <w:p w14:paraId="274B2EF5" w14:textId="7BA1B1AA" w:rsidR="00560EBB" w:rsidRPr="00762EAA" w:rsidRDefault="00560EBB" w:rsidP="00B653C5">
      <w:pPr>
        <w:rPr>
          <w:b/>
          <w:sz w:val="18"/>
          <w:szCs w:val="18"/>
          <w:lang w:val="fr-CH"/>
        </w:rPr>
      </w:pPr>
      <w:r w:rsidRPr="00762EAA">
        <w:rPr>
          <w:sz w:val="18"/>
          <w:szCs w:val="18"/>
          <w:vertAlign w:val="superscript"/>
          <w:lang w:val="fr-CH"/>
        </w:rPr>
        <w:footnoteRef/>
      </w:r>
      <w:r w:rsidRPr="00762EAA">
        <w:rPr>
          <w:sz w:val="18"/>
          <w:szCs w:val="18"/>
          <w:vertAlign w:val="superscript"/>
          <w:lang w:val="fr-CH"/>
        </w:rPr>
        <w:t xml:space="preserve"> </w:t>
      </w:r>
      <w:r>
        <w:rPr>
          <w:sz w:val="18"/>
          <w:szCs w:val="18"/>
          <w:lang w:val="fr-CH"/>
        </w:rPr>
        <w:t>Citation de</w:t>
      </w:r>
      <w:r w:rsidRPr="00762EAA">
        <w:rPr>
          <w:sz w:val="18"/>
          <w:szCs w:val="18"/>
          <w:lang w:val="fr-CH"/>
        </w:rPr>
        <w:t xml:space="preserve"> Roland Naegelin, </w:t>
      </w:r>
      <w:r>
        <w:rPr>
          <w:sz w:val="18"/>
          <w:szCs w:val="18"/>
          <w:lang w:val="fr-CH"/>
        </w:rPr>
        <w:t xml:space="preserve">membre de la DSN </w:t>
      </w:r>
      <w:r w:rsidRPr="00762EAA">
        <w:rPr>
          <w:sz w:val="18"/>
          <w:szCs w:val="18"/>
          <w:lang w:val="fr-CH"/>
        </w:rPr>
        <w:t xml:space="preserve">1970-1980, </w:t>
      </w:r>
      <w:r>
        <w:rPr>
          <w:sz w:val="18"/>
          <w:szCs w:val="18"/>
          <w:lang w:val="fr-CH"/>
        </w:rPr>
        <w:t>directeur de la DSN</w:t>
      </w:r>
      <w:r w:rsidRPr="00762EAA">
        <w:rPr>
          <w:sz w:val="18"/>
          <w:szCs w:val="18"/>
          <w:lang w:val="fr-CH"/>
        </w:rPr>
        <w:t xml:space="preserve"> 1980-1995</w:t>
      </w:r>
      <w:r>
        <w:rPr>
          <w:sz w:val="18"/>
          <w:szCs w:val="18"/>
          <w:lang w:val="fr-CH"/>
        </w:rPr>
        <w:t> : à l’époque, on ne connaissait « pas l’intensité des séismes encore plus rares », dont on pensait qu’ils n’étaient « probablemen</w:t>
      </w:r>
      <w:r w:rsidR="005A54C3">
        <w:rPr>
          <w:sz w:val="18"/>
          <w:szCs w:val="18"/>
          <w:lang w:val="fr-CH"/>
        </w:rPr>
        <w:t xml:space="preserve">t pas beaucoup plus forts ». Et : </w:t>
      </w:r>
      <w:r w:rsidR="004F499B">
        <w:rPr>
          <w:sz w:val="18"/>
          <w:szCs w:val="18"/>
          <w:lang w:val="fr-CH"/>
        </w:rPr>
        <w:t>« C</w:t>
      </w:r>
      <w:r>
        <w:rPr>
          <w:sz w:val="18"/>
          <w:szCs w:val="18"/>
          <w:lang w:val="fr-CH"/>
        </w:rPr>
        <w:t xml:space="preserve">ette fréquence est plus élevée, et donc moins conservatrice que la fréquence </w:t>
      </w:r>
      <w:r w:rsidRPr="00762EAA">
        <w:rPr>
          <w:sz w:val="18"/>
          <w:szCs w:val="18"/>
          <w:lang w:val="fr-CH"/>
        </w:rPr>
        <w:t>10</w:t>
      </w:r>
      <w:r w:rsidRPr="00762EAA">
        <w:rPr>
          <w:sz w:val="18"/>
          <w:szCs w:val="18"/>
          <w:vertAlign w:val="superscript"/>
          <w:lang w:val="fr-CH"/>
        </w:rPr>
        <w:t>-6</w:t>
      </w:r>
      <w:r w:rsidRPr="00762EAA">
        <w:rPr>
          <w:sz w:val="18"/>
          <w:szCs w:val="18"/>
          <w:lang w:val="fr-CH"/>
        </w:rPr>
        <w:t xml:space="preserve"> </w:t>
      </w:r>
      <w:r>
        <w:rPr>
          <w:sz w:val="18"/>
          <w:szCs w:val="18"/>
          <w:lang w:val="fr-CH"/>
        </w:rPr>
        <w:t>par année, qui était normalement retenue comme critère pour les événements isolés dont il faut encore tenir compte. Les arguments motivant ce choix étaient qu’on ne connaissait pas l’intensité des séismes encore plus rares, dont on pensait qu’ils n’étaient probablement pas beaucoup plus forts, et qu’on considérait qu’une installation construite en fonction de ces hypothèses possédait encore des réserves considérables pour résister à des séismes plus intenses ; ce dernier argument se fondait sur l’expérience, étant donné qu’on n’avait encore jamais observé des dommage dus à des séismes sur ce type d’installations. »</w:t>
      </w:r>
      <w:r w:rsidRPr="00762EAA">
        <w:rPr>
          <w:sz w:val="18"/>
          <w:szCs w:val="18"/>
          <w:lang w:val="fr-CH"/>
        </w:rPr>
        <w:t xml:space="preserve"> in</w:t>
      </w:r>
      <w:r>
        <w:rPr>
          <w:sz w:val="18"/>
          <w:szCs w:val="18"/>
          <w:lang w:val="fr-CH"/>
        </w:rPr>
        <w:t> :</w:t>
      </w:r>
      <w:r w:rsidRPr="00762EAA">
        <w:rPr>
          <w:sz w:val="18"/>
          <w:szCs w:val="18"/>
          <w:lang w:val="fr-CH"/>
        </w:rPr>
        <w:t xml:space="preserve"> Roland Naegelin, Geschichte der Sicherheitsaufsicht über die schweizerischen Kernanl</w:t>
      </w:r>
      <w:r>
        <w:rPr>
          <w:sz w:val="18"/>
          <w:szCs w:val="18"/>
          <w:lang w:val="fr-CH"/>
        </w:rPr>
        <w:t>agen 1960-2003, Villigen 2007, p</w:t>
      </w:r>
      <w:r w:rsidRPr="00762EAA">
        <w:rPr>
          <w:sz w:val="18"/>
          <w:szCs w:val="18"/>
          <w:lang w:val="fr-CH"/>
        </w:rPr>
        <w:t>. 145.</w:t>
      </w:r>
    </w:p>
  </w:footnote>
  <w:footnote w:id="15">
    <w:p w14:paraId="4A3AD6A7" w14:textId="3D734969" w:rsidR="0043787D" w:rsidRPr="0043787D" w:rsidRDefault="0043787D" w:rsidP="0043787D">
      <w:pPr>
        <w:pStyle w:val="Funotentext"/>
        <w:rPr>
          <w:sz w:val="18"/>
          <w:szCs w:val="18"/>
          <w:lang w:val="en-US"/>
        </w:rPr>
      </w:pPr>
      <w:r w:rsidRPr="002114B6">
        <w:rPr>
          <w:rStyle w:val="Funotenzeichen"/>
          <w:sz w:val="18"/>
          <w:szCs w:val="18"/>
        </w:rPr>
        <w:footnoteRef/>
      </w:r>
      <w:r w:rsidRPr="0043787D">
        <w:rPr>
          <w:sz w:val="18"/>
          <w:szCs w:val="18"/>
          <w:lang w:val="en-US"/>
        </w:rPr>
        <w:t xml:space="preserve"> Depuis le 01.01.2018, inchangé ORaP </w:t>
      </w:r>
      <w:r>
        <w:rPr>
          <w:sz w:val="18"/>
          <w:szCs w:val="18"/>
          <w:lang w:val="en-US"/>
        </w:rPr>
        <w:t>a</w:t>
      </w:r>
      <w:r w:rsidRPr="0043787D">
        <w:rPr>
          <w:sz w:val="18"/>
          <w:szCs w:val="18"/>
          <w:lang w:val="en-US"/>
        </w:rPr>
        <w:t xml:space="preserve">rt. </w:t>
      </w:r>
      <w:r>
        <w:rPr>
          <w:sz w:val="18"/>
          <w:szCs w:val="18"/>
          <w:lang w:val="en-US"/>
        </w:rPr>
        <w:t>123 para. 2</w:t>
      </w:r>
      <w:r w:rsidRPr="0043787D">
        <w:rPr>
          <w:sz w:val="18"/>
          <w:szCs w:val="18"/>
          <w:lang w:val="en-US"/>
        </w:rPr>
        <w:t>.</w:t>
      </w:r>
    </w:p>
  </w:footnote>
  <w:footnote w:id="16">
    <w:p w14:paraId="0F100304" w14:textId="662306F7" w:rsidR="00560EBB" w:rsidRPr="00762EAA" w:rsidRDefault="00560EBB" w:rsidP="007539C2">
      <w:pPr>
        <w:pStyle w:val="Funotentext"/>
        <w:rPr>
          <w:sz w:val="18"/>
          <w:szCs w:val="18"/>
          <w:lang w:val="fr-CH"/>
        </w:rPr>
      </w:pPr>
      <w:r w:rsidRPr="00762EAA">
        <w:rPr>
          <w:rStyle w:val="Funotenzeichen"/>
          <w:sz w:val="18"/>
          <w:szCs w:val="18"/>
          <w:lang w:val="fr-CH"/>
        </w:rPr>
        <w:footnoteRef/>
      </w:r>
      <w:r w:rsidRPr="00762EAA">
        <w:rPr>
          <w:sz w:val="18"/>
          <w:szCs w:val="18"/>
          <w:lang w:val="fr-CH"/>
        </w:rPr>
        <w:t xml:space="preserve"> Art. 123 al. 2 let. a et b dans la </w:t>
      </w:r>
      <w:r>
        <w:rPr>
          <w:sz w:val="18"/>
          <w:szCs w:val="18"/>
          <w:lang w:val="fr-CH"/>
        </w:rPr>
        <w:t>nouvelle version de l’ORaP</w:t>
      </w:r>
      <w:r w:rsidR="0043787D">
        <w:rPr>
          <w:sz w:val="18"/>
          <w:szCs w:val="18"/>
          <w:lang w:val="fr-CH"/>
        </w:rPr>
        <w:t xml:space="preserve"> (révision 2017)</w:t>
      </w:r>
      <w:r>
        <w:rPr>
          <w:sz w:val="18"/>
          <w:szCs w:val="18"/>
          <w:lang w:val="fr-CH"/>
        </w:rPr>
        <w:t>.</w:t>
      </w:r>
    </w:p>
  </w:footnote>
  <w:footnote w:id="17">
    <w:p w14:paraId="3C02E749" w14:textId="39885F90" w:rsidR="00B03DB5" w:rsidRPr="00B03DB5" w:rsidRDefault="00B03DB5" w:rsidP="00B03DB5">
      <w:pPr>
        <w:pStyle w:val="Funotentext"/>
        <w:rPr>
          <w:lang w:val="en-US"/>
        </w:rPr>
      </w:pPr>
      <w:r w:rsidRPr="002114B6">
        <w:rPr>
          <w:rStyle w:val="Funotenzeichen"/>
          <w:sz w:val="18"/>
          <w:szCs w:val="18"/>
        </w:rPr>
        <w:footnoteRef/>
      </w:r>
      <w:r w:rsidRPr="00B03DB5">
        <w:rPr>
          <w:rStyle w:val="Funotenzeichen"/>
          <w:lang w:val="en-US"/>
        </w:rPr>
        <w:t xml:space="preserve"> </w:t>
      </w:r>
      <w:r w:rsidRPr="00B03DB5">
        <w:rPr>
          <w:sz w:val="18"/>
          <w:szCs w:val="18"/>
          <w:lang w:val="en-US"/>
        </w:rPr>
        <w:t>Dans le cas où la radioactivité ne provient pas du refroidissement du coeur, voir 2.3.5.</w:t>
      </w:r>
    </w:p>
  </w:footnote>
  <w:footnote w:id="18">
    <w:p w14:paraId="4A820065" w14:textId="5DC5E67C" w:rsidR="00560EBB" w:rsidRPr="00762EAA" w:rsidRDefault="00560EBB">
      <w:pPr>
        <w:pStyle w:val="Funotentext"/>
        <w:rPr>
          <w:sz w:val="18"/>
          <w:szCs w:val="18"/>
          <w:lang w:val="fr-CH"/>
        </w:rPr>
      </w:pPr>
      <w:r w:rsidRPr="00762EAA">
        <w:rPr>
          <w:rStyle w:val="Funotenzeichen"/>
          <w:sz w:val="18"/>
          <w:szCs w:val="18"/>
          <w:lang w:val="fr-CH"/>
        </w:rPr>
        <w:footnoteRef/>
      </w:r>
      <w:r w:rsidRPr="00762EAA">
        <w:rPr>
          <w:lang w:val="fr-CH"/>
        </w:rPr>
        <w:t xml:space="preserve"> </w:t>
      </w:r>
      <w:r w:rsidRPr="00762EAA">
        <w:rPr>
          <w:sz w:val="18"/>
          <w:szCs w:val="18"/>
          <w:lang w:val="fr-CH"/>
        </w:rPr>
        <w:t xml:space="preserve">Cf. ci-après la section </w:t>
      </w:r>
      <w:r w:rsidRPr="00762EAA">
        <w:rPr>
          <w:sz w:val="18"/>
          <w:szCs w:val="18"/>
          <w:lang w:val="fr-CH"/>
        </w:rPr>
        <w:fldChar w:fldCharType="begin"/>
      </w:r>
      <w:r w:rsidRPr="00762EAA">
        <w:rPr>
          <w:sz w:val="18"/>
          <w:szCs w:val="18"/>
          <w:lang w:val="fr-CH"/>
        </w:rPr>
        <w:instrText xml:space="preserve"> REF _Ref506888112 \r \h  \* MERGEFORMAT </w:instrText>
      </w:r>
      <w:r w:rsidRPr="00762EAA">
        <w:rPr>
          <w:sz w:val="18"/>
          <w:szCs w:val="18"/>
          <w:lang w:val="fr-CH"/>
        </w:rPr>
      </w:r>
      <w:r w:rsidRPr="00762EAA">
        <w:rPr>
          <w:sz w:val="18"/>
          <w:szCs w:val="18"/>
          <w:lang w:val="fr-CH"/>
        </w:rPr>
        <w:fldChar w:fldCharType="separate"/>
      </w:r>
      <w:r w:rsidR="00114E94">
        <w:rPr>
          <w:sz w:val="18"/>
          <w:szCs w:val="18"/>
          <w:lang w:val="fr-CH"/>
        </w:rPr>
        <w:t>2.3.7</w:t>
      </w:r>
      <w:r w:rsidRPr="00762EAA">
        <w:rPr>
          <w:sz w:val="18"/>
          <w:szCs w:val="18"/>
          <w:lang w:val="fr-CH"/>
        </w:rPr>
        <w:fldChar w:fldCharType="end"/>
      </w:r>
      <w:r w:rsidRPr="00762EAA">
        <w:rPr>
          <w:sz w:val="18"/>
          <w:szCs w:val="18"/>
          <w:lang w:val="fr-CH"/>
        </w:rPr>
        <w:t>.</w:t>
      </w:r>
    </w:p>
  </w:footnote>
  <w:footnote w:id="19">
    <w:p w14:paraId="69313D97" w14:textId="7F825149" w:rsidR="00560EBB" w:rsidRPr="00762EAA" w:rsidRDefault="00560EBB">
      <w:pPr>
        <w:pStyle w:val="Funotentext"/>
        <w:rPr>
          <w:sz w:val="18"/>
          <w:szCs w:val="18"/>
          <w:lang w:val="fr-CH"/>
        </w:rPr>
      </w:pPr>
      <w:r w:rsidRPr="00762EAA">
        <w:rPr>
          <w:sz w:val="18"/>
          <w:szCs w:val="18"/>
          <w:vertAlign w:val="superscript"/>
          <w:lang w:val="fr-CH"/>
        </w:rPr>
        <w:footnoteRef/>
      </w:r>
      <w:r w:rsidRPr="00762EAA">
        <w:rPr>
          <w:lang w:val="fr-CH"/>
        </w:rPr>
        <w:t xml:space="preserve"> </w:t>
      </w:r>
      <w:r w:rsidRPr="00762EAA">
        <w:rPr>
          <w:sz w:val="18"/>
          <w:szCs w:val="18"/>
          <w:lang w:val="fr-CH"/>
        </w:rPr>
        <w:t>Dans le cas de Beznau, pour un accident lié à un tremblement de terre survenant tous les 10 000 ans, le justificatif déterministe fait état d’une dose pouvant aller jusqu’à 18,5 mSv chez les enfants en bas âge en cas de défaillance du refroidissement de la piscine des assemblages combustibles (Note 14/1658 de l’IFSN du 7 juillet 2012, p. 43), et d’une dose pouvant aller jusqu’à 11,1 mSv chez les enfants en bas âge en lien avec une défaillance des équipements du circuit primaire et secondaire (Axpo, Centrale nucléaire de Beznau, Communication technique TM-511-RA12014 du 30 mars 2012, p. 11s.). Ces fortes doses de radiation, très largement supérieures au rayonnement naturel, seraient donc à l’avenir considérées comme négligeables.</w:t>
      </w:r>
    </w:p>
  </w:footnote>
  <w:footnote w:id="20">
    <w:p w14:paraId="7DB143EA" w14:textId="77777777" w:rsidR="00560EBB" w:rsidRPr="00762EAA" w:rsidRDefault="00560EBB" w:rsidP="005A6483">
      <w:pPr>
        <w:pStyle w:val="Funotentext"/>
        <w:rPr>
          <w:sz w:val="18"/>
          <w:szCs w:val="18"/>
          <w:lang w:val="fr-CH"/>
        </w:rPr>
      </w:pPr>
      <w:r w:rsidRPr="00762EAA">
        <w:rPr>
          <w:sz w:val="18"/>
          <w:szCs w:val="18"/>
          <w:vertAlign w:val="superscript"/>
          <w:lang w:val="fr-CH"/>
        </w:rPr>
        <w:footnoteRef/>
      </w:r>
      <w:r w:rsidRPr="00762EAA">
        <w:rPr>
          <w:sz w:val="18"/>
          <w:szCs w:val="18"/>
          <w:vertAlign w:val="superscript"/>
          <w:lang w:val="fr-CH"/>
        </w:rPr>
        <w:t xml:space="preserve"> </w:t>
      </w:r>
      <w:r w:rsidRPr="00762EAA">
        <w:rPr>
          <w:sz w:val="18"/>
          <w:szCs w:val="18"/>
          <w:lang w:val="fr-CH"/>
        </w:rPr>
        <w:t>Nouv. art. 8 al. 4bis</w:t>
      </w:r>
    </w:p>
  </w:footnote>
  <w:footnote w:id="21">
    <w:p w14:paraId="10B31EC7" w14:textId="3391E72C" w:rsidR="00560EBB" w:rsidRPr="00762EAA" w:rsidRDefault="00560EBB">
      <w:pPr>
        <w:pStyle w:val="Funotentext"/>
        <w:rPr>
          <w:sz w:val="18"/>
          <w:szCs w:val="18"/>
          <w:lang w:val="fr-CH"/>
        </w:rPr>
      </w:pPr>
      <w:r w:rsidRPr="00762EAA">
        <w:rPr>
          <w:rStyle w:val="Funotenzeichen"/>
          <w:sz w:val="18"/>
          <w:szCs w:val="18"/>
          <w:lang w:val="fr-CH"/>
        </w:rPr>
        <w:footnoteRef/>
      </w:r>
      <w:r w:rsidRPr="00762EAA">
        <w:rPr>
          <w:sz w:val="18"/>
          <w:szCs w:val="18"/>
          <w:lang w:val="fr-CH"/>
        </w:rPr>
        <w:t xml:space="preserve"> </w:t>
      </w:r>
      <w:r>
        <w:rPr>
          <w:sz w:val="18"/>
          <w:szCs w:val="18"/>
          <w:lang w:val="fr-CH"/>
        </w:rPr>
        <w:t xml:space="preserve">Le rapport explicatif écrit textuellement, à la page </w:t>
      </w:r>
      <w:r w:rsidRPr="00762EAA">
        <w:rPr>
          <w:sz w:val="18"/>
          <w:szCs w:val="18"/>
          <w:lang w:val="fr-CH"/>
        </w:rPr>
        <w:t xml:space="preserve">4, </w:t>
      </w:r>
      <w:r>
        <w:rPr>
          <w:sz w:val="18"/>
          <w:szCs w:val="18"/>
          <w:lang w:val="fr-CH"/>
        </w:rPr>
        <w:t>qu’il est excessif de fonder les critères de mise hors service sur les doses individuelles selon l’ORaP. Selon le texte, une mise hors service immédiate ne se justifierait pas dans toutes les situations qui tombent aujourd’hui sous cette réglementation</w:t>
      </w:r>
      <w:r w:rsidRPr="00762EAA">
        <w:rPr>
          <w:sz w:val="18"/>
          <w:szCs w:val="18"/>
          <w:lang w:val="fr-CH"/>
        </w:rPr>
        <w:t>.</w:t>
      </w:r>
    </w:p>
  </w:footnote>
  <w:footnote w:id="22">
    <w:p w14:paraId="3AD5E585" w14:textId="79140D0D" w:rsidR="00560EBB" w:rsidRPr="00762EAA" w:rsidRDefault="00560EBB" w:rsidP="00F8305F">
      <w:pPr>
        <w:pStyle w:val="Funotentext"/>
        <w:rPr>
          <w:sz w:val="18"/>
          <w:szCs w:val="18"/>
          <w:lang w:val="fr-CH"/>
        </w:rPr>
      </w:pPr>
      <w:r w:rsidRPr="00762EAA">
        <w:rPr>
          <w:rStyle w:val="Funotenzeichen"/>
          <w:sz w:val="18"/>
          <w:szCs w:val="18"/>
          <w:lang w:val="fr-CH"/>
        </w:rPr>
        <w:footnoteRef/>
      </w:r>
      <w:r w:rsidRPr="00762EAA">
        <w:rPr>
          <w:sz w:val="18"/>
          <w:szCs w:val="18"/>
          <w:lang w:val="fr-CH"/>
        </w:rPr>
        <w:t xml:space="preserve"> </w:t>
      </w:r>
      <w:hyperlink r:id="rId1" w:history="1">
        <w:r w:rsidRPr="00762EAA">
          <w:rPr>
            <w:rStyle w:val="Link"/>
            <w:sz w:val="18"/>
            <w:szCs w:val="18"/>
            <w:u w:val="none"/>
            <w:lang w:val="fr-CH"/>
          </w:rPr>
          <w:t>https://www.bag.admin.ch/bag/de/home/themen/mensch-gesundheit/strahlung-radioaktivitaet-schall/strahlung-gesundheit/wirkung-von-strahlung-auf-die-gesundheit.html</w:t>
        </w:r>
      </w:hyperlink>
      <w:r w:rsidRPr="00762EAA">
        <w:rPr>
          <w:sz w:val="18"/>
          <w:szCs w:val="18"/>
          <w:lang w:val="fr-CH"/>
        </w:rPr>
        <w:t xml:space="preserve">, </w:t>
      </w:r>
      <w:r>
        <w:rPr>
          <w:sz w:val="18"/>
          <w:szCs w:val="18"/>
          <w:lang w:val="fr-CH"/>
        </w:rPr>
        <w:t>consulté le</w:t>
      </w:r>
      <w:r w:rsidRPr="00762EAA">
        <w:rPr>
          <w:sz w:val="18"/>
          <w:szCs w:val="18"/>
          <w:lang w:val="fr-CH"/>
        </w:rPr>
        <w:t xml:space="preserve"> 15.2.2018 </w:t>
      </w:r>
      <w:r>
        <w:rPr>
          <w:sz w:val="18"/>
          <w:szCs w:val="18"/>
          <w:lang w:val="fr-CH"/>
        </w:rPr>
        <w:t>à</w:t>
      </w:r>
      <w:r w:rsidRPr="00762EAA">
        <w:rPr>
          <w:sz w:val="18"/>
          <w:szCs w:val="18"/>
          <w:lang w:val="fr-CH"/>
        </w:rPr>
        <w:t xml:space="preserve"> 14</w:t>
      </w:r>
      <w:r>
        <w:rPr>
          <w:sz w:val="18"/>
          <w:szCs w:val="18"/>
          <w:lang w:val="fr-CH"/>
        </w:rPr>
        <w:t>h</w:t>
      </w:r>
      <w:r w:rsidRPr="00762EAA">
        <w:rPr>
          <w:sz w:val="18"/>
          <w:szCs w:val="18"/>
          <w:lang w:val="fr-CH"/>
        </w:rPr>
        <w:t>40.</w:t>
      </w:r>
    </w:p>
  </w:footnote>
  <w:footnote w:id="23">
    <w:p w14:paraId="1A8D785E" w14:textId="6294E1AE" w:rsidR="00560EBB" w:rsidRPr="00762EAA" w:rsidRDefault="00560EBB">
      <w:pPr>
        <w:pStyle w:val="Funotentext"/>
        <w:rPr>
          <w:sz w:val="18"/>
          <w:szCs w:val="18"/>
          <w:lang w:val="fr-CH"/>
        </w:rPr>
      </w:pPr>
      <w:r w:rsidRPr="00762EAA">
        <w:rPr>
          <w:rStyle w:val="Funotenzeichen"/>
          <w:sz w:val="18"/>
          <w:szCs w:val="18"/>
          <w:lang w:val="fr-CH"/>
        </w:rPr>
        <w:footnoteRef/>
      </w:r>
      <w:r w:rsidRPr="00762EAA">
        <w:rPr>
          <w:sz w:val="18"/>
          <w:szCs w:val="18"/>
          <w:lang w:val="fr-CH"/>
        </w:rPr>
        <w:t xml:space="preserve"> https://www.bfs.de/DE/themen/ion/strahlenschutz/grenzwerte/grenzwerte.html, </w:t>
      </w:r>
      <w:r>
        <w:rPr>
          <w:sz w:val="18"/>
          <w:szCs w:val="18"/>
          <w:lang w:val="fr-CH"/>
        </w:rPr>
        <w:t xml:space="preserve">consulté le </w:t>
      </w:r>
      <w:r w:rsidRPr="00762EAA">
        <w:rPr>
          <w:sz w:val="18"/>
          <w:szCs w:val="18"/>
          <w:lang w:val="fr-CH"/>
        </w:rPr>
        <w:t xml:space="preserve">15.2.2018 </w:t>
      </w:r>
      <w:r>
        <w:rPr>
          <w:sz w:val="18"/>
          <w:szCs w:val="18"/>
          <w:lang w:val="fr-CH"/>
        </w:rPr>
        <w:t>à 14h</w:t>
      </w:r>
      <w:r w:rsidRPr="00762EAA">
        <w:rPr>
          <w:sz w:val="18"/>
          <w:szCs w:val="18"/>
          <w:lang w:val="fr-CH"/>
        </w:rPr>
        <w:t>40.</w:t>
      </w:r>
    </w:p>
  </w:footnote>
  <w:footnote w:id="24">
    <w:p w14:paraId="05570140" w14:textId="74A2E617" w:rsidR="00560EBB" w:rsidRPr="00762EAA" w:rsidRDefault="00560EBB">
      <w:pPr>
        <w:pStyle w:val="Funotentext"/>
        <w:rPr>
          <w:sz w:val="18"/>
          <w:szCs w:val="18"/>
          <w:lang w:val="fr-CH"/>
        </w:rPr>
      </w:pPr>
      <w:r w:rsidRPr="00762EAA">
        <w:rPr>
          <w:rStyle w:val="Funotenzeichen"/>
          <w:sz w:val="18"/>
          <w:szCs w:val="18"/>
          <w:lang w:val="fr-CH"/>
        </w:rPr>
        <w:footnoteRef/>
      </w:r>
      <w:r w:rsidRPr="00762EAA">
        <w:rPr>
          <w:sz w:val="18"/>
          <w:szCs w:val="18"/>
          <w:lang w:val="fr-CH"/>
        </w:rPr>
        <w:t xml:space="preserve"> </w:t>
      </w:r>
      <w:r w:rsidRPr="00E0215A">
        <w:rPr>
          <w:sz w:val="18"/>
          <w:szCs w:val="18"/>
          <w:lang w:val="fr-CH"/>
        </w:rPr>
        <w:t>Mise en œuvre du Concept des mesures à prendre en fonction des doses (CMD)</w:t>
      </w:r>
      <w:r>
        <w:rPr>
          <w:sz w:val="18"/>
          <w:szCs w:val="18"/>
          <w:lang w:val="fr-CH"/>
        </w:rPr>
        <w:t> :</w:t>
      </w:r>
      <w:r w:rsidRPr="00762EAA">
        <w:rPr>
          <w:sz w:val="18"/>
          <w:szCs w:val="18"/>
          <w:lang w:val="fr-CH"/>
        </w:rPr>
        <w:t xml:space="preserve"> </w:t>
      </w:r>
      <w:r>
        <w:rPr>
          <w:sz w:val="18"/>
          <w:szCs w:val="18"/>
          <w:lang w:val="fr-CH"/>
        </w:rPr>
        <w:t>mesures visant à réduire l’exposition à l’</w:t>
      </w:r>
      <w:r w:rsidRPr="00064998">
        <w:rPr>
          <w:sz w:val="18"/>
          <w:szCs w:val="18"/>
          <w:lang w:val="fr-CH"/>
        </w:rPr>
        <w:t>irradiation après un accident dans une centrale nucléaire</w:t>
      </w:r>
      <w:r w:rsidRPr="00762EAA">
        <w:rPr>
          <w:sz w:val="18"/>
          <w:szCs w:val="18"/>
          <w:lang w:val="fr-CH"/>
        </w:rPr>
        <w:t xml:space="preserve"> (</w:t>
      </w:r>
      <w:r>
        <w:rPr>
          <w:sz w:val="18"/>
          <w:szCs w:val="18"/>
          <w:lang w:val="fr-CH"/>
        </w:rPr>
        <w:t>Catalogue de mesures CMD</w:t>
      </w:r>
      <w:r w:rsidRPr="00762EAA">
        <w:rPr>
          <w:sz w:val="18"/>
          <w:szCs w:val="18"/>
          <w:lang w:val="fr-CH"/>
        </w:rPr>
        <w:t xml:space="preserve">), </w:t>
      </w:r>
      <w:r w:rsidRPr="00975203">
        <w:rPr>
          <w:sz w:val="18"/>
          <w:szCs w:val="18"/>
          <w:lang w:val="fr-CH"/>
        </w:rPr>
        <w:t>Groupe de travail Evaluation et contre-mesures ComABC</w:t>
      </w:r>
      <w:r w:rsidRPr="00762EAA">
        <w:rPr>
          <w:sz w:val="18"/>
          <w:szCs w:val="18"/>
          <w:lang w:val="fr-CH"/>
        </w:rPr>
        <w:t>, 18</w:t>
      </w:r>
      <w:r>
        <w:rPr>
          <w:sz w:val="18"/>
          <w:szCs w:val="18"/>
          <w:lang w:val="fr-CH"/>
        </w:rPr>
        <w:t> novembre 2003, p</w:t>
      </w:r>
      <w:r w:rsidRPr="00762EAA">
        <w:rPr>
          <w:sz w:val="18"/>
          <w:szCs w:val="18"/>
          <w:lang w:val="fr-CH"/>
        </w:rPr>
        <w:t>. 23</w:t>
      </w:r>
    </w:p>
  </w:footnote>
  <w:footnote w:id="25">
    <w:p w14:paraId="77B3CE80" w14:textId="2A177D54" w:rsidR="00862CE2" w:rsidRPr="001C7CE8" w:rsidRDefault="00560EBB" w:rsidP="00862CE2">
      <w:pPr>
        <w:spacing w:line="240" w:lineRule="auto"/>
        <w:rPr>
          <w:rFonts w:ascii="Times New Roman" w:eastAsia="Times New Roman" w:hAnsi="Times New Roman" w:cs="Times New Roman"/>
          <w:sz w:val="24"/>
          <w:szCs w:val="24"/>
          <w:lang w:val="en-US" w:eastAsia="de-DE"/>
        </w:rPr>
      </w:pPr>
      <w:r w:rsidRPr="00762EAA">
        <w:rPr>
          <w:rStyle w:val="Funotenzeichen"/>
          <w:sz w:val="18"/>
          <w:szCs w:val="18"/>
          <w:lang w:val="fr-CH"/>
        </w:rPr>
        <w:footnoteRef/>
      </w:r>
      <w:r w:rsidRPr="00762EAA">
        <w:rPr>
          <w:sz w:val="18"/>
          <w:szCs w:val="18"/>
          <w:lang w:val="fr-CH"/>
        </w:rPr>
        <w:t xml:space="preserve"> </w:t>
      </w:r>
      <w:r w:rsidR="00862CE2" w:rsidRPr="001C7CE8">
        <w:rPr>
          <w:rFonts w:ascii="Arial" w:eastAsia="Times New Roman" w:hAnsi="Arial" w:cs="Arial"/>
          <w:color w:val="000000"/>
          <w:sz w:val="18"/>
          <w:szCs w:val="18"/>
          <w:shd w:val="clear" w:color="auto" w:fill="FFFFFF"/>
          <w:lang w:val="en-US" w:eastAsia="de-DE"/>
        </w:rPr>
        <w:t>SR 520.17, Annexe 1/5</w:t>
      </w:r>
    </w:p>
    <w:p w14:paraId="723AFCAF" w14:textId="598FAB84" w:rsidR="00560EBB" w:rsidRPr="00762EAA" w:rsidRDefault="00560EBB">
      <w:pPr>
        <w:pStyle w:val="Funotentext"/>
        <w:rPr>
          <w:sz w:val="18"/>
          <w:szCs w:val="18"/>
          <w:lang w:val="fr-CH"/>
        </w:rPr>
      </w:pPr>
    </w:p>
  </w:footnote>
  <w:footnote w:id="26">
    <w:p w14:paraId="6A151DD3" w14:textId="3E690FD8" w:rsidR="00560EBB" w:rsidRPr="00762EAA" w:rsidRDefault="00560EBB" w:rsidP="00EA0203">
      <w:pPr>
        <w:pStyle w:val="Funotentext"/>
        <w:rPr>
          <w:sz w:val="18"/>
          <w:szCs w:val="18"/>
          <w:lang w:val="fr-CH"/>
        </w:rPr>
      </w:pPr>
      <w:r w:rsidRPr="00762EAA">
        <w:rPr>
          <w:rStyle w:val="Funotenzeichen"/>
          <w:sz w:val="18"/>
          <w:szCs w:val="18"/>
          <w:lang w:val="fr-CH"/>
        </w:rPr>
        <w:footnoteRef/>
      </w:r>
      <w:r w:rsidRPr="00762EAA">
        <w:rPr>
          <w:sz w:val="18"/>
          <w:szCs w:val="18"/>
          <w:lang w:val="fr-CH"/>
        </w:rPr>
        <w:t xml:space="preserve"> </w:t>
      </w:r>
      <w:r>
        <w:rPr>
          <w:sz w:val="18"/>
          <w:szCs w:val="18"/>
          <w:lang w:val="fr-CH"/>
        </w:rPr>
        <w:t>Directive IFSN-</w:t>
      </w:r>
      <w:r w:rsidRPr="00762EAA">
        <w:rPr>
          <w:sz w:val="18"/>
          <w:szCs w:val="18"/>
          <w:lang w:val="fr-CH"/>
        </w:rPr>
        <w:t>G03</w:t>
      </w:r>
    </w:p>
  </w:footnote>
  <w:footnote w:id="27">
    <w:p w14:paraId="6400068C" w14:textId="77777777" w:rsidR="00883EFD" w:rsidRPr="00762EAA" w:rsidRDefault="00883EFD" w:rsidP="00CA05CE">
      <w:pPr>
        <w:pStyle w:val="Funotentext"/>
        <w:rPr>
          <w:sz w:val="18"/>
          <w:szCs w:val="18"/>
          <w:lang w:val="fr-CH"/>
        </w:rPr>
      </w:pPr>
      <w:r w:rsidRPr="00762EAA">
        <w:rPr>
          <w:rStyle w:val="Funotenzeichen"/>
          <w:sz w:val="18"/>
          <w:szCs w:val="18"/>
          <w:lang w:val="fr-CH"/>
        </w:rPr>
        <w:footnoteRef/>
      </w:r>
      <w:r w:rsidRPr="00762EAA">
        <w:rPr>
          <w:sz w:val="18"/>
          <w:szCs w:val="18"/>
          <w:lang w:val="fr-CH"/>
        </w:rPr>
        <w:t xml:space="preserve"> </w:t>
      </w:r>
      <w:r>
        <w:rPr>
          <w:sz w:val="18"/>
          <w:szCs w:val="18"/>
          <w:lang w:val="fr-CH"/>
        </w:rPr>
        <w:t>Rapport explicatif sur la révision partielle de l’ordonnance sur l’énergie nucléaire, de l’ordonnance sur la responsabilité civile</w:t>
      </w:r>
      <w:r w:rsidRPr="00762EAA">
        <w:rPr>
          <w:sz w:val="18"/>
          <w:szCs w:val="18"/>
          <w:lang w:val="fr-CH"/>
        </w:rPr>
        <w:t xml:space="preserve"> </w:t>
      </w:r>
      <w:r>
        <w:rPr>
          <w:sz w:val="18"/>
          <w:szCs w:val="18"/>
          <w:lang w:val="fr-CH"/>
        </w:rPr>
        <w:t>en matière nucléaire, de l’ordonnance sur la mise hors service d’une centrale nucléaire et de l’ordonnance sur les hypothèses de risque, p.</w:t>
      </w:r>
      <w:r w:rsidRPr="00762EAA">
        <w:rPr>
          <w:sz w:val="18"/>
          <w:szCs w:val="18"/>
          <w:lang w:val="fr-CH"/>
        </w:rPr>
        <w:t xml:space="preserve"> 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406E"/>
    <w:multiLevelType w:val="multilevel"/>
    <w:tmpl w:val="222C54E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05640C04"/>
    <w:multiLevelType w:val="hybridMultilevel"/>
    <w:tmpl w:val="B5BEB6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EBD2A8B"/>
    <w:multiLevelType w:val="hybridMultilevel"/>
    <w:tmpl w:val="BECAE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355CDB"/>
    <w:multiLevelType w:val="hybridMultilevel"/>
    <w:tmpl w:val="675C8FD0"/>
    <w:lvl w:ilvl="0" w:tplc="04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7652B39"/>
    <w:multiLevelType w:val="hybridMultilevel"/>
    <w:tmpl w:val="122EB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B9839B5"/>
    <w:multiLevelType w:val="hybridMultilevel"/>
    <w:tmpl w:val="146CD19A"/>
    <w:lvl w:ilvl="0" w:tplc="F428664C">
      <w:start w:val="3003"/>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A036AAB"/>
    <w:multiLevelType w:val="hybridMultilevel"/>
    <w:tmpl w:val="F04051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7C006BC"/>
    <w:multiLevelType w:val="hybridMultilevel"/>
    <w:tmpl w:val="124AF82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A57594"/>
    <w:multiLevelType w:val="hybridMultilevel"/>
    <w:tmpl w:val="10C24DD4"/>
    <w:lvl w:ilvl="0" w:tplc="F428664C">
      <w:start w:val="3003"/>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A753B54"/>
    <w:multiLevelType w:val="hybridMultilevel"/>
    <w:tmpl w:val="B0C4CC4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4BE97154"/>
    <w:multiLevelType w:val="hybridMultilevel"/>
    <w:tmpl w:val="3A288BE8"/>
    <w:lvl w:ilvl="0" w:tplc="FF94786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4C800884"/>
    <w:multiLevelType w:val="hybridMultilevel"/>
    <w:tmpl w:val="AE8A9AE0"/>
    <w:lvl w:ilvl="0" w:tplc="0EECBA78">
      <w:start w:val="8055"/>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5018630F"/>
    <w:multiLevelType w:val="hybridMultilevel"/>
    <w:tmpl w:val="328CA5C4"/>
    <w:lvl w:ilvl="0" w:tplc="0EECBA78">
      <w:start w:val="8055"/>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5173644D"/>
    <w:multiLevelType w:val="hybridMultilevel"/>
    <w:tmpl w:val="665E9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4">
    <w:nsid w:val="517E232A"/>
    <w:multiLevelType w:val="hybridMultilevel"/>
    <w:tmpl w:val="5A4C7F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2D56D3D"/>
    <w:multiLevelType w:val="hybridMultilevel"/>
    <w:tmpl w:val="24460B20"/>
    <w:lvl w:ilvl="0" w:tplc="F428664C">
      <w:start w:val="300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52413EA"/>
    <w:multiLevelType w:val="hybridMultilevel"/>
    <w:tmpl w:val="35FA3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E9E1179"/>
    <w:multiLevelType w:val="hybridMultilevel"/>
    <w:tmpl w:val="0644DE52"/>
    <w:lvl w:ilvl="0" w:tplc="F428664C">
      <w:start w:val="300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0B00D45"/>
    <w:multiLevelType w:val="hybridMultilevel"/>
    <w:tmpl w:val="5D6C5740"/>
    <w:lvl w:ilvl="0" w:tplc="A5C26ED0">
      <w:start w:val="1"/>
      <w:numFmt w:val="decimal"/>
      <w:pStyle w:val="NumAbs"/>
      <w:lvlText w:val="%1"/>
      <w:lvlJc w:val="left"/>
      <w:pPr>
        <w:ind w:left="720" w:hanging="360"/>
      </w:pPr>
      <w:rPr>
        <w:rFonts w:hint="default"/>
        <w:sz w:val="2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610429A4"/>
    <w:multiLevelType w:val="hybridMultilevel"/>
    <w:tmpl w:val="C4AC7548"/>
    <w:lvl w:ilvl="0" w:tplc="71648196">
      <w:start w:val="1"/>
      <w:numFmt w:val="bullet"/>
      <w:pStyle w:val="Listenabsatz"/>
      <w:lvlText w:val="–"/>
      <w:lvlJc w:val="left"/>
      <w:pPr>
        <w:ind w:left="360" w:hanging="360"/>
      </w:pPr>
      <w:rPr>
        <w:rFonts w:ascii="Arial" w:hAnsi="Aria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0">
    <w:nsid w:val="62337CAC"/>
    <w:multiLevelType w:val="hybridMultilevel"/>
    <w:tmpl w:val="69C891F0"/>
    <w:lvl w:ilvl="0" w:tplc="F428664C">
      <w:start w:val="300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81D6BC7"/>
    <w:multiLevelType w:val="hybridMultilevel"/>
    <w:tmpl w:val="F7FC4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C4978C2"/>
    <w:multiLevelType w:val="multilevel"/>
    <w:tmpl w:val="1E48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41172B"/>
    <w:multiLevelType w:val="hybridMultilevel"/>
    <w:tmpl w:val="301C14F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2630417"/>
    <w:multiLevelType w:val="multilevel"/>
    <w:tmpl w:val="0BF8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9A5E62"/>
    <w:multiLevelType w:val="hybridMultilevel"/>
    <w:tmpl w:val="535C6BB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5B16A65"/>
    <w:multiLevelType w:val="hybridMultilevel"/>
    <w:tmpl w:val="CFAA4BB2"/>
    <w:lvl w:ilvl="0" w:tplc="F428664C">
      <w:start w:val="300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61D0C6D"/>
    <w:multiLevelType w:val="hybridMultilevel"/>
    <w:tmpl w:val="ABC8C3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78CD3417"/>
    <w:multiLevelType w:val="hybridMultilevel"/>
    <w:tmpl w:val="8FF0747A"/>
    <w:lvl w:ilvl="0" w:tplc="F428664C">
      <w:start w:val="300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4"/>
  </w:num>
  <w:num w:numId="4">
    <w:abstractNumId w:val="26"/>
  </w:num>
  <w:num w:numId="5">
    <w:abstractNumId w:val="7"/>
  </w:num>
  <w:num w:numId="6">
    <w:abstractNumId w:val="9"/>
  </w:num>
  <w:num w:numId="7">
    <w:abstractNumId w:val="19"/>
  </w:num>
  <w:num w:numId="8">
    <w:abstractNumId w:val="17"/>
  </w:num>
  <w:num w:numId="9">
    <w:abstractNumId w:val="15"/>
  </w:num>
  <w:num w:numId="10">
    <w:abstractNumId w:val="28"/>
  </w:num>
  <w:num w:numId="11">
    <w:abstractNumId w:val="25"/>
  </w:num>
  <w:num w:numId="12">
    <w:abstractNumId w:val="2"/>
  </w:num>
  <w:num w:numId="13">
    <w:abstractNumId w:val="12"/>
  </w:num>
  <w:num w:numId="14">
    <w:abstractNumId w:val="14"/>
  </w:num>
  <w:num w:numId="15">
    <w:abstractNumId w:val="0"/>
  </w:num>
  <w:num w:numId="16">
    <w:abstractNumId w:val="16"/>
  </w:num>
  <w:num w:numId="17">
    <w:abstractNumId w:val="11"/>
  </w:num>
  <w:num w:numId="18">
    <w:abstractNumId w:val="0"/>
  </w:num>
  <w:num w:numId="19">
    <w:abstractNumId w:val="0"/>
  </w:num>
  <w:num w:numId="20">
    <w:abstractNumId w:val="27"/>
  </w:num>
  <w:num w:numId="21">
    <w:abstractNumId w:val="13"/>
  </w:num>
  <w:num w:numId="22">
    <w:abstractNumId w:val="8"/>
  </w:num>
  <w:num w:numId="23">
    <w:abstractNumId w:val="5"/>
  </w:num>
  <w:num w:numId="24">
    <w:abstractNumId w:val="20"/>
  </w:num>
  <w:num w:numId="25">
    <w:abstractNumId w:val="6"/>
  </w:num>
  <w:num w:numId="26">
    <w:abstractNumId w:val="23"/>
  </w:num>
  <w:num w:numId="27">
    <w:abstractNumId w:val="18"/>
  </w:num>
  <w:num w:numId="28">
    <w:abstractNumId w:val="24"/>
  </w:num>
  <w:num w:numId="29">
    <w:abstractNumId w:val="22"/>
  </w:num>
  <w:num w:numId="30">
    <w:abstractNumId w:val="21"/>
  </w:num>
  <w:num w:numId="31">
    <w:abstractNumId w:val="3"/>
  </w:num>
  <w:num w:numId="32">
    <w:abstractNumId w:val="0"/>
  </w:num>
  <w:num w:numId="33">
    <w:abstractNumId w:val="0"/>
  </w:num>
  <w:num w:numId="34">
    <w:abstractNumId w:val="1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lastRevisionsView" w:val="0"/>
  </w:docVars>
  <w:rsids>
    <w:rsidRoot w:val="00A4425B"/>
    <w:rsid w:val="00002E60"/>
    <w:rsid w:val="000045B2"/>
    <w:rsid w:val="00034360"/>
    <w:rsid w:val="00040C0E"/>
    <w:rsid w:val="00041A3E"/>
    <w:rsid w:val="000439E5"/>
    <w:rsid w:val="0004558F"/>
    <w:rsid w:val="00045A43"/>
    <w:rsid w:val="000467E3"/>
    <w:rsid w:val="000467F4"/>
    <w:rsid w:val="000475AE"/>
    <w:rsid w:val="000477A4"/>
    <w:rsid w:val="000601F7"/>
    <w:rsid w:val="00061242"/>
    <w:rsid w:val="0006311E"/>
    <w:rsid w:val="00064998"/>
    <w:rsid w:val="000651DC"/>
    <w:rsid w:val="00065294"/>
    <w:rsid w:val="00072C6F"/>
    <w:rsid w:val="00073750"/>
    <w:rsid w:val="0008301E"/>
    <w:rsid w:val="00086526"/>
    <w:rsid w:val="0009433B"/>
    <w:rsid w:val="0009445D"/>
    <w:rsid w:val="000975C0"/>
    <w:rsid w:val="000A7C4C"/>
    <w:rsid w:val="000B075D"/>
    <w:rsid w:val="000B0C50"/>
    <w:rsid w:val="000B1CAD"/>
    <w:rsid w:val="000B303B"/>
    <w:rsid w:val="000B3055"/>
    <w:rsid w:val="000B7624"/>
    <w:rsid w:val="000C0C23"/>
    <w:rsid w:val="000C1BE3"/>
    <w:rsid w:val="000C251E"/>
    <w:rsid w:val="000C3401"/>
    <w:rsid w:val="000C4D52"/>
    <w:rsid w:val="000C54CF"/>
    <w:rsid w:val="000D1A36"/>
    <w:rsid w:val="000D64E0"/>
    <w:rsid w:val="000D7311"/>
    <w:rsid w:val="000E2344"/>
    <w:rsid w:val="000F0926"/>
    <w:rsid w:val="000F3369"/>
    <w:rsid w:val="000F43D7"/>
    <w:rsid w:val="000F7B70"/>
    <w:rsid w:val="00102F98"/>
    <w:rsid w:val="00106605"/>
    <w:rsid w:val="00112260"/>
    <w:rsid w:val="0011230D"/>
    <w:rsid w:val="00113C16"/>
    <w:rsid w:val="00114E94"/>
    <w:rsid w:val="0011533A"/>
    <w:rsid w:val="001172AF"/>
    <w:rsid w:val="00121D6C"/>
    <w:rsid w:val="0012275A"/>
    <w:rsid w:val="00123279"/>
    <w:rsid w:val="00125000"/>
    <w:rsid w:val="001251AD"/>
    <w:rsid w:val="001270D5"/>
    <w:rsid w:val="001276EB"/>
    <w:rsid w:val="00130DA3"/>
    <w:rsid w:val="00131979"/>
    <w:rsid w:val="0013328E"/>
    <w:rsid w:val="00134543"/>
    <w:rsid w:val="00143636"/>
    <w:rsid w:val="00151B12"/>
    <w:rsid w:val="00152DB1"/>
    <w:rsid w:val="00153F93"/>
    <w:rsid w:val="00154B83"/>
    <w:rsid w:val="0016076A"/>
    <w:rsid w:val="00164A65"/>
    <w:rsid w:val="00166923"/>
    <w:rsid w:val="001669F3"/>
    <w:rsid w:val="00167F0C"/>
    <w:rsid w:val="00175290"/>
    <w:rsid w:val="0017662D"/>
    <w:rsid w:val="00176689"/>
    <w:rsid w:val="0017715A"/>
    <w:rsid w:val="00177F0D"/>
    <w:rsid w:val="0018611E"/>
    <w:rsid w:val="0019067F"/>
    <w:rsid w:val="00191319"/>
    <w:rsid w:val="00191A5F"/>
    <w:rsid w:val="001923FA"/>
    <w:rsid w:val="00194524"/>
    <w:rsid w:val="001A6D3F"/>
    <w:rsid w:val="001B28F4"/>
    <w:rsid w:val="001B304F"/>
    <w:rsid w:val="001C4CC8"/>
    <w:rsid w:val="001C6791"/>
    <w:rsid w:val="001C7CE8"/>
    <w:rsid w:val="001D0A53"/>
    <w:rsid w:val="001D24B9"/>
    <w:rsid w:val="001D586B"/>
    <w:rsid w:val="001D6002"/>
    <w:rsid w:val="001E0519"/>
    <w:rsid w:val="001E09AD"/>
    <w:rsid w:val="001E23BD"/>
    <w:rsid w:val="001E347B"/>
    <w:rsid w:val="001F1616"/>
    <w:rsid w:val="001F45ED"/>
    <w:rsid w:val="001F5205"/>
    <w:rsid w:val="001F5A6B"/>
    <w:rsid w:val="00203FC2"/>
    <w:rsid w:val="0021071A"/>
    <w:rsid w:val="00217CD3"/>
    <w:rsid w:val="002224BA"/>
    <w:rsid w:val="00223CDF"/>
    <w:rsid w:val="0022602A"/>
    <w:rsid w:val="00227A0D"/>
    <w:rsid w:val="002316AD"/>
    <w:rsid w:val="00241C1D"/>
    <w:rsid w:val="00242FAB"/>
    <w:rsid w:val="0024634F"/>
    <w:rsid w:val="0025271E"/>
    <w:rsid w:val="002542BC"/>
    <w:rsid w:val="002565A0"/>
    <w:rsid w:val="00257997"/>
    <w:rsid w:val="002605EB"/>
    <w:rsid w:val="00260DCA"/>
    <w:rsid w:val="002618D5"/>
    <w:rsid w:val="00263396"/>
    <w:rsid w:val="002634E4"/>
    <w:rsid w:val="00265519"/>
    <w:rsid w:val="00265984"/>
    <w:rsid w:val="002712AA"/>
    <w:rsid w:val="002745F7"/>
    <w:rsid w:val="0027463A"/>
    <w:rsid w:val="00280755"/>
    <w:rsid w:val="00285042"/>
    <w:rsid w:val="00285D6D"/>
    <w:rsid w:val="002861FB"/>
    <w:rsid w:val="00287B42"/>
    <w:rsid w:val="00287F8E"/>
    <w:rsid w:val="00290EC0"/>
    <w:rsid w:val="0029207C"/>
    <w:rsid w:val="002962A1"/>
    <w:rsid w:val="002B344A"/>
    <w:rsid w:val="002B349D"/>
    <w:rsid w:val="002B7319"/>
    <w:rsid w:val="002B7BAE"/>
    <w:rsid w:val="002C0AC9"/>
    <w:rsid w:val="002C1DF5"/>
    <w:rsid w:val="002C22E0"/>
    <w:rsid w:val="002C38A7"/>
    <w:rsid w:val="002C5662"/>
    <w:rsid w:val="002C693C"/>
    <w:rsid w:val="002D0495"/>
    <w:rsid w:val="002D0D60"/>
    <w:rsid w:val="002D5622"/>
    <w:rsid w:val="002D67E6"/>
    <w:rsid w:val="002E1328"/>
    <w:rsid w:val="002E68F6"/>
    <w:rsid w:val="002F088B"/>
    <w:rsid w:val="002F1208"/>
    <w:rsid w:val="002F26D0"/>
    <w:rsid w:val="002F2A2C"/>
    <w:rsid w:val="002F3365"/>
    <w:rsid w:val="00311884"/>
    <w:rsid w:val="00316252"/>
    <w:rsid w:val="00316B74"/>
    <w:rsid w:val="00317034"/>
    <w:rsid w:val="003225A9"/>
    <w:rsid w:val="00326AB8"/>
    <w:rsid w:val="00326E3D"/>
    <w:rsid w:val="003274FE"/>
    <w:rsid w:val="00330B00"/>
    <w:rsid w:val="003326CA"/>
    <w:rsid w:val="003327A1"/>
    <w:rsid w:val="00332ACF"/>
    <w:rsid w:val="00333B1E"/>
    <w:rsid w:val="00334643"/>
    <w:rsid w:val="003347B8"/>
    <w:rsid w:val="00334BDE"/>
    <w:rsid w:val="00336B6E"/>
    <w:rsid w:val="003410E1"/>
    <w:rsid w:val="00342948"/>
    <w:rsid w:val="00346FE6"/>
    <w:rsid w:val="00355934"/>
    <w:rsid w:val="00356DC1"/>
    <w:rsid w:val="0036017A"/>
    <w:rsid w:val="00362D76"/>
    <w:rsid w:val="003636BA"/>
    <w:rsid w:val="00364966"/>
    <w:rsid w:val="00364EA8"/>
    <w:rsid w:val="0037375B"/>
    <w:rsid w:val="00376BA3"/>
    <w:rsid w:val="00381376"/>
    <w:rsid w:val="00385173"/>
    <w:rsid w:val="00385175"/>
    <w:rsid w:val="0039110B"/>
    <w:rsid w:val="0039327D"/>
    <w:rsid w:val="00393328"/>
    <w:rsid w:val="003946C2"/>
    <w:rsid w:val="00395967"/>
    <w:rsid w:val="0039658C"/>
    <w:rsid w:val="00396F03"/>
    <w:rsid w:val="003A27CD"/>
    <w:rsid w:val="003A5409"/>
    <w:rsid w:val="003A6C83"/>
    <w:rsid w:val="003B0EE6"/>
    <w:rsid w:val="003B630F"/>
    <w:rsid w:val="003B7609"/>
    <w:rsid w:val="003C0E35"/>
    <w:rsid w:val="003C2605"/>
    <w:rsid w:val="003C36BB"/>
    <w:rsid w:val="003C3E37"/>
    <w:rsid w:val="003C55A6"/>
    <w:rsid w:val="003C5FCF"/>
    <w:rsid w:val="003C7C4E"/>
    <w:rsid w:val="003D0AEF"/>
    <w:rsid w:val="003D411E"/>
    <w:rsid w:val="003D6A39"/>
    <w:rsid w:val="003D7883"/>
    <w:rsid w:val="003E08BB"/>
    <w:rsid w:val="003E1A1C"/>
    <w:rsid w:val="003E2DFF"/>
    <w:rsid w:val="003F2270"/>
    <w:rsid w:val="003F4ADD"/>
    <w:rsid w:val="003F7239"/>
    <w:rsid w:val="00407F55"/>
    <w:rsid w:val="004109DE"/>
    <w:rsid w:val="004143C0"/>
    <w:rsid w:val="004160E6"/>
    <w:rsid w:val="00420E4E"/>
    <w:rsid w:val="0042376B"/>
    <w:rsid w:val="00426858"/>
    <w:rsid w:val="00427A07"/>
    <w:rsid w:val="00427A46"/>
    <w:rsid w:val="00430C7E"/>
    <w:rsid w:val="004339F0"/>
    <w:rsid w:val="00434C2F"/>
    <w:rsid w:val="00434D04"/>
    <w:rsid w:val="00436860"/>
    <w:rsid w:val="00436BE0"/>
    <w:rsid w:val="0043787D"/>
    <w:rsid w:val="00440466"/>
    <w:rsid w:val="00440BF4"/>
    <w:rsid w:val="00441BEB"/>
    <w:rsid w:val="004449FA"/>
    <w:rsid w:val="004476BE"/>
    <w:rsid w:val="00451F95"/>
    <w:rsid w:val="00453F13"/>
    <w:rsid w:val="0045561C"/>
    <w:rsid w:val="00457E6C"/>
    <w:rsid w:val="00460E4E"/>
    <w:rsid w:val="00463600"/>
    <w:rsid w:val="00463B11"/>
    <w:rsid w:val="00467102"/>
    <w:rsid w:val="00473396"/>
    <w:rsid w:val="00474A49"/>
    <w:rsid w:val="00475252"/>
    <w:rsid w:val="004767C8"/>
    <w:rsid w:val="00477558"/>
    <w:rsid w:val="00483C8E"/>
    <w:rsid w:val="00487CC6"/>
    <w:rsid w:val="00491BC6"/>
    <w:rsid w:val="00496730"/>
    <w:rsid w:val="004A484C"/>
    <w:rsid w:val="004A4919"/>
    <w:rsid w:val="004A6FF9"/>
    <w:rsid w:val="004B06C4"/>
    <w:rsid w:val="004B2052"/>
    <w:rsid w:val="004B328D"/>
    <w:rsid w:val="004B3665"/>
    <w:rsid w:val="004C1DFC"/>
    <w:rsid w:val="004C21E3"/>
    <w:rsid w:val="004C296D"/>
    <w:rsid w:val="004C5865"/>
    <w:rsid w:val="004C6877"/>
    <w:rsid w:val="004C6E71"/>
    <w:rsid w:val="004D251D"/>
    <w:rsid w:val="004D4BD6"/>
    <w:rsid w:val="004D6D1E"/>
    <w:rsid w:val="004E34A9"/>
    <w:rsid w:val="004E49C5"/>
    <w:rsid w:val="004F3D54"/>
    <w:rsid w:val="004F499B"/>
    <w:rsid w:val="004F7E54"/>
    <w:rsid w:val="0050220E"/>
    <w:rsid w:val="0051145E"/>
    <w:rsid w:val="00511B92"/>
    <w:rsid w:val="00515D89"/>
    <w:rsid w:val="00515DE5"/>
    <w:rsid w:val="00520204"/>
    <w:rsid w:val="0052041E"/>
    <w:rsid w:val="00520DF7"/>
    <w:rsid w:val="0053210F"/>
    <w:rsid w:val="00534170"/>
    <w:rsid w:val="00537293"/>
    <w:rsid w:val="00537A2D"/>
    <w:rsid w:val="00540668"/>
    <w:rsid w:val="00546B08"/>
    <w:rsid w:val="00546F34"/>
    <w:rsid w:val="005505E9"/>
    <w:rsid w:val="00554D82"/>
    <w:rsid w:val="005555EE"/>
    <w:rsid w:val="00560EBB"/>
    <w:rsid w:val="0056259C"/>
    <w:rsid w:val="0056418B"/>
    <w:rsid w:val="00572003"/>
    <w:rsid w:val="00575AE4"/>
    <w:rsid w:val="00580013"/>
    <w:rsid w:val="005852C2"/>
    <w:rsid w:val="00591B1E"/>
    <w:rsid w:val="005A0985"/>
    <w:rsid w:val="005A2C71"/>
    <w:rsid w:val="005A54C3"/>
    <w:rsid w:val="005A6483"/>
    <w:rsid w:val="005A74B4"/>
    <w:rsid w:val="005C66B4"/>
    <w:rsid w:val="005D236A"/>
    <w:rsid w:val="005D2516"/>
    <w:rsid w:val="005D3B86"/>
    <w:rsid w:val="005D4D36"/>
    <w:rsid w:val="005D64FC"/>
    <w:rsid w:val="005E257B"/>
    <w:rsid w:val="005E2935"/>
    <w:rsid w:val="005E351C"/>
    <w:rsid w:val="005E7D0A"/>
    <w:rsid w:val="005F002B"/>
    <w:rsid w:val="005F00DD"/>
    <w:rsid w:val="005F62A6"/>
    <w:rsid w:val="006008CB"/>
    <w:rsid w:val="00605C2B"/>
    <w:rsid w:val="0061159E"/>
    <w:rsid w:val="00614BAF"/>
    <w:rsid w:val="0061534A"/>
    <w:rsid w:val="006153D3"/>
    <w:rsid w:val="00615976"/>
    <w:rsid w:val="00621364"/>
    <w:rsid w:val="00624D90"/>
    <w:rsid w:val="00624F0C"/>
    <w:rsid w:val="00632FA4"/>
    <w:rsid w:val="00635771"/>
    <w:rsid w:val="0064217C"/>
    <w:rsid w:val="006449D4"/>
    <w:rsid w:val="00663863"/>
    <w:rsid w:val="0066692E"/>
    <w:rsid w:val="00670BEF"/>
    <w:rsid w:val="00672E58"/>
    <w:rsid w:val="006736BF"/>
    <w:rsid w:val="00677A89"/>
    <w:rsid w:val="006839ED"/>
    <w:rsid w:val="006854C8"/>
    <w:rsid w:val="006865AE"/>
    <w:rsid w:val="006900A7"/>
    <w:rsid w:val="006914C5"/>
    <w:rsid w:val="00692249"/>
    <w:rsid w:val="00692A08"/>
    <w:rsid w:val="00697E24"/>
    <w:rsid w:val="006A727A"/>
    <w:rsid w:val="006B0FA8"/>
    <w:rsid w:val="006B43CE"/>
    <w:rsid w:val="006B4C8D"/>
    <w:rsid w:val="006C1F19"/>
    <w:rsid w:val="006C46F6"/>
    <w:rsid w:val="006C5DC2"/>
    <w:rsid w:val="006C62CE"/>
    <w:rsid w:val="006C6DF0"/>
    <w:rsid w:val="006D17C3"/>
    <w:rsid w:val="006D1D0C"/>
    <w:rsid w:val="006D6B90"/>
    <w:rsid w:val="006E0A05"/>
    <w:rsid w:val="006E2E24"/>
    <w:rsid w:val="006E631B"/>
    <w:rsid w:val="006E7F08"/>
    <w:rsid w:val="006F2640"/>
    <w:rsid w:val="006F2B2B"/>
    <w:rsid w:val="006F30DB"/>
    <w:rsid w:val="006F559D"/>
    <w:rsid w:val="006F6E7D"/>
    <w:rsid w:val="00702328"/>
    <w:rsid w:val="0070437C"/>
    <w:rsid w:val="00710E1F"/>
    <w:rsid w:val="00711AFA"/>
    <w:rsid w:val="007124FC"/>
    <w:rsid w:val="00714886"/>
    <w:rsid w:val="00714989"/>
    <w:rsid w:val="00716A97"/>
    <w:rsid w:val="00722B21"/>
    <w:rsid w:val="00725458"/>
    <w:rsid w:val="00725666"/>
    <w:rsid w:val="0073396C"/>
    <w:rsid w:val="007401FF"/>
    <w:rsid w:val="00741274"/>
    <w:rsid w:val="00745FF3"/>
    <w:rsid w:val="0075051D"/>
    <w:rsid w:val="007539C2"/>
    <w:rsid w:val="00753A57"/>
    <w:rsid w:val="00753AF2"/>
    <w:rsid w:val="0076099F"/>
    <w:rsid w:val="00762DAA"/>
    <w:rsid w:val="00762EAA"/>
    <w:rsid w:val="007700D1"/>
    <w:rsid w:val="0077068C"/>
    <w:rsid w:val="007830F3"/>
    <w:rsid w:val="007905A9"/>
    <w:rsid w:val="00791564"/>
    <w:rsid w:val="007924C8"/>
    <w:rsid w:val="00795E70"/>
    <w:rsid w:val="007A07D6"/>
    <w:rsid w:val="007A4407"/>
    <w:rsid w:val="007A598F"/>
    <w:rsid w:val="007B2754"/>
    <w:rsid w:val="007B44A6"/>
    <w:rsid w:val="007C345E"/>
    <w:rsid w:val="007C3F86"/>
    <w:rsid w:val="007C4244"/>
    <w:rsid w:val="007D3D31"/>
    <w:rsid w:val="007D55DF"/>
    <w:rsid w:val="007D5F51"/>
    <w:rsid w:val="007D6CA3"/>
    <w:rsid w:val="007D7677"/>
    <w:rsid w:val="007D76D2"/>
    <w:rsid w:val="007E1C69"/>
    <w:rsid w:val="007E4E4E"/>
    <w:rsid w:val="007E55CF"/>
    <w:rsid w:val="007E6FFE"/>
    <w:rsid w:val="007F7A13"/>
    <w:rsid w:val="008002DD"/>
    <w:rsid w:val="00800A16"/>
    <w:rsid w:val="00806D5B"/>
    <w:rsid w:val="00810432"/>
    <w:rsid w:val="00810EE8"/>
    <w:rsid w:val="00810F97"/>
    <w:rsid w:val="00811949"/>
    <w:rsid w:val="00815083"/>
    <w:rsid w:val="00816D1D"/>
    <w:rsid w:val="00823562"/>
    <w:rsid w:val="00823C0C"/>
    <w:rsid w:val="008246C9"/>
    <w:rsid w:val="008278C3"/>
    <w:rsid w:val="00827AB1"/>
    <w:rsid w:val="00827AC4"/>
    <w:rsid w:val="008316F3"/>
    <w:rsid w:val="008322BC"/>
    <w:rsid w:val="00833883"/>
    <w:rsid w:val="0083503E"/>
    <w:rsid w:val="00841767"/>
    <w:rsid w:val="00842329"/>
    <w:rsid w:val="00844192"/>
    <w:rsid w:val="008452FC"/>
    <w:rsid w:val="00853FBC"/>
    <w:rsid w:val="00857845"/>
    <w:rsid w:val="008628B8"/>
    <w:rsid w:val="00862CE2"/>
    <w:rsid w:val="00870041"/>
    <w:rsid w:val="00876E23"/>
    <w:rsid w:val="00877252"/>
    <w:rsid w:val="00877A72"/>
    <w:rsid w:val="008807B8"/>
    <w:rsid w:val="0088195D"/>
    <w:rsid w:val="008824FE"/>
    <w:rsid w:val="00883EFD"/>
    <w:rsid w:val="00892D1D"/>
    <w:rsid w:val="00896D97"/>
    <w:rsid w:val="008B058B"/>
    <w:rsid w:val="008B1CE2"/>
    <w:rsid w:val="008B3E8F"/>
    <w:rsid w:val="008B590A"/>
    <w:rsid w:val="008B5FF8"/>
    <w:rsid w:val="008B70EA"/>
    <w:rsid w:val="008B73C2"/>
    <w:rsid w:val="008C0504"/>
    <w:rsid w:val="008C710A"/>
    <w:rsid w:val="008D063C"/>
    <w:rsid w:val="008D13E7"/>
    <w:rsid w:val="008D4E9A"/>
    <w:rsid w:val="008D7132"/>
    <w:rsid w:val="008D7798"/>
    <w:rsid w:val="008E04E0"/>
    <w:rsid w:val="008F0C61"/>
    <w:rsid w:val="008F25B5"/>
    <w:rsid w:val="008F4B7D"/>
    <w:rsid w:val="0090574C"/>
    <w:rsid w:val="00907EA8"/>
    <w:rsid w:val="00914D96"/>
    <w:rsid w:val="00915159"/>
    <w:rsid w:val="009152D9"/>
    <w:rsid w:val="00920CE6"/>
    <w:rsid w:val="009251A9"/>
    <w:rsid w:val="00936712"/>
    <w:rsid w:val="00953BDB"/>
    <w:rsid w:val="00960F1A"/>
    <w:rsid w:val="009632BC"/>
    <w:rsid w:val="00964745"/>
    <w:rsid w:val="00973FC8"/>
    <w:rsid w:val="00974603"/>
    <w:rsid w:val="00975203"/>
    <w:rsid w:val="0097593E"/>
    <w:rsid w:val="0097750D"/>
    <w:rsid w:val="0098183A"/>
    <w:rsid w:val="009831A4"/>
    <w:rsid w:val="009831FE"/>
    <w:rsid w:val="0098347E"/>
    <w:rsid w:val="009846D7"/>
    <w:rsid w:val="009847A2"/>
    <w:rsid w:val="00986B2E"/>
    <w:rsid w:val="00986E5E"/>
    <w:rsid w:val="00987DB3"/>
    <w:rsid w:val="00987DBD"/>
    <w:rsid w:val="00990772"/>
    <w:rsid w:val="009921FE"/>
    <w:rsid w:val="00992557"/>
    <w:rsid w:val="009A39EA"/>
    <w:rsid w:val="009A55EE"/>
    <w:rsid w:val="009B03D9"/>
    <w:rsid w:val="009B34F3"/>
    <w:rsid w:val="009B4035"/>
    <w:rsid w:val="009B534A"/>
    <w:rsid w:val="009B6AAC"/>
    <w:rsid w:val="009B6B8B"/>
    <w:rsid w:val="009B7608"/>
    <w:rsid w:val="009C0048"/>
    <w:rsid w:val="009C14C8"/>
    <w:rsid w:val="009C43D4"/>
    <w:rsid w:val="009C44D7"/>
    <w:rsid w:val="009C4704"/>
    <w:rsid w:val="009D1800"/>
    <w:rsid w:val="009D183D"/>
    <w:rsid w:val="009D561C"/>
    <w:rsid w:val="009D5E08"/>
    <w:rsid w:val="009D70F3"/>
    <w:rsid w:val="009E183C"/>
    <w:rsid w:val="009E40A8"/>
    <w:rsid w:val="009E7481"/>
    <w:rsid w:val="009F6C91"/>
    <w:rsid w:val="00A00BF5"/>
    <w:rsid w:val="00A03E21"/>
    <w:rsid w:val="00A064E4"/>
    <w:rsid w:val="00A13FDE"/>
    <w:rsid w:val="00A14859"/>
    <w:rsid w:val="00A1727A"/>
    <w:rsid w:val="00A30D17"/>
    <w:rsid w:val="00A379DE"/>
    <w:rsid w:val="00A4034C"/>
    <w:rsid w:val="00A41A69"/>
    <w:rsid w:val="00A42366"/>
    <w:rsid w:val="00A42492"/>
    <w:rsid w:val="00A4290E"/>
    <w:rsid w:val="00A4425B"/>
    <w:rsid w:val="00A445A3"/>
    <w:rsid w:val="00A45140"/>
    <w:rsid w:val="00A5003A"/>
    <w:rsid w:val="00A5433B"/>
    <w:rsid w:val="00A6581C"/>
    <w:rsid w:val="00A661D3"/>
    <w:rsid w:val="00A73A7D"/>
    <w:rsid w:val="00A81DC4"/>
    <w:rsid w:val="00A81E75"/>
    <w:rsid w:val="00A83FF8"/>
    <w:rsid w:val="00A8701F"/>
    <w:rsid w:val="00A91D9C"/>
    <w:rsid w:val="00A930E6"/>
    <w:rsid w:val="00A93564"/>
    <w:rsid w:val="00AA5E43"/>
    <w:rsid w:val="00AA738E"/>
    <w:rsid w:val="00AA74A5"/>
    <w:rsid w:val="00AB0560"/>
    <w:rsid w:val="00AB343A"/>
    <w:rsid w:val="00AB3EBA"/>
    <w:rsid w:val="00AB700F"/>
    <w:rsid w:val="00AC1BF1"/>
    <w:rsid w:val="00AC2994"/>
    <w:rsid w:val="00AC36DC"/>
    <w:rsid w:val="00AD308C"/>
    <w:rsid w:val="00AD45CA"/>
    <w:rsid w:val="00AD4CBE"/>
    <w:rsid w:val="00AE2F77"/>
    <w:rsid w:val="00AE4596"/>
    <w:rsid w:val="00AE679D"/>
    <w:rsid w:val="00AE6899"/>
    <w:rsid w:val="00B0058F"/>
    <w:rsid w:val="00B03DB5"/>
    <w:rsid w:val="00B05216"/>
    <w:rsid w:val="00B05EED"/>
    <w:rsid w:val="00B062C3"/>
    <w:rsid w:val="00B07B4E"/>
    <w:rsid w:val="00B13029"/>
    <w:rsid w:val="00B153A6"/>
    <w:rsid w:val="00B1735D"/>
    <w:rsid w:val="00B20EF8"/>
    <w:rsid w:val="00B22E81"/>
    <w:rsid w:val="00B236DE"/>
    <w:rsid w:val="00B24036"/>
    <w:rsid w:val="00B251C2"/>
    <w:rsid w:val="00B31F00"/>
    <w:rsid w:val="00B3332C"/>
    <w:rsid w:val="00B42130"/>
    <w:rsid w:val="00B503D2"/>
    <w:rsid w:val="00B51167"/>
    <w:rsid w:val="00B5418A"/>
    <w:rsid w:val="00B557F3"/>
    <w:rsid w:val="00B62C90"/>
    <w:rsid w:val="00B644D0"/>
    <w:rsid w:val="00B64971"/>
    <w:rsid w:val="00B65240"/>
    <w:rsid w:val="00B653C5"/>
    <w:rsid w:val="00B66AC9"/>
    <w:rsid w:val="00B71753"/>
    <w:rsid w:val="00B82E86"/>
    <w:rsid w:val="00B83483"/>
    <w:rsid w:val="00B84F30"/>
    <w:rsid w:val="00B85C6B"/>
    <w:rsid w:val="00B861DE"/>
    <w:rsid w:val="00B92BFB"/>
    <w:rsid w:val="00B94C79"/>
    <w:rsid w:val="00B959E8"/>
    <w:rsid w:val="00BA3B7E"/>
    <w:rsid w:val="00BB2BD9"/>
    <w:rsid w:val="00BB3735"/>
    <w:rsid w:val="00BB5795"/>
    <w:rsid w:val="00BB5903"/>
    <w:rsid w:val="00BB5F43"/>
    <w:rsid w:val="00BB7125"/>
    <w:rsid w:val="00BC33E6"/>
    <w:rsid w:val="00BC789B"/>
    <w:rsid w:val="00BD12DB"/>
    <w:rsid w:val="00BD2C26"/>
    <w:rsid w:val="00BD36EC"/>
    <w:rsid w:val="00BD60FF"/>
    <w:rsid w:val="00BD7606"/>
    <w:rsid w:val="00BD7878"/>
    <w:rsid w:val="00BE310E"/>
    <w:rsid w:val="00BE4172"/>
    <w:rsid w:val="00BE7769"/>
    <w:rsid w:val="00BF0682"/>
    <w:rsid w:val="00BF3784"/>
    <w:rsid w:val="00BF3EE8"/>
    <w:rsid w:val="00C02C8E"/>
    <w:rsid w:val="00C048BE"/>
    <w:rsid w:val="00C05252"/>
    <w:rsid w:val="00C06D2D"/>
    <w:rsid w:val="00C13271"/>
    <w:rsid w:val="00C1582D"/>
    <w:rsid w:val="00C15963"/>
    <w:rsid w:val="00C1772F"/>
    <w:rsid w:val="00C2592F"/>
    <w:rsid w:val="00C2671B"/>
    <w:rsid w:val="00C27155"/>
    <w:rsid w:val="00C32B6D"/>
    <w:rsid w:val="00C33E94"/>
    <w:rsid w:val="00C35350"/>
    <w:rsid w:val="00C3667B"/>
    <w:rsid w:val="00C3685A"/>
    <w:rsid w:val="00C42349"/>
    <w:rsid w:val="00C43339"/>
    <w:rsid w:val="00C45A3B"/>
    <w:rsid w:val="00C474E2"/>
    <w:rsid w:val="00C52FEF"/>
    <w:rsid w:val="00C5403E"/>
    <w:rsid w:val="00C5536D"/>
    <w:rsid w:val="00C55CAE"/>
    <w:rsid w:val="00C56073"/>
    <w:rsid w:val="00C563C2"/>
    <w:rsid w:val="00C631A5"/>
    <w:rsid w:val="00C63C61"/>
    <w:rsid w:val="00C65971"/>
    <w:rsid w:val="00C67C53"/>
    <w:rsid w:val="00C719B2"/>
    <w:rsid w:val="00C82843"/>
    <w:rsid w:val="00C87CC9"/>
    <w:rsid w:val="00C9056C"/>
    <w:rsid w:val="00C9429C"/>
    <w:rsid w:val="00CA05CE"/>
    <w:rsid w:val="00CA1FDC"/>
    <w:rsid w:val="00CA3E8B"/>
    <w:rsid w:val="00CA3F8A"/>
    <w:rsid w:val="00CA5DFF"/>
    <w:rsid w:val="00CA6FBE"/>
    <w:rsid w:val="00CA7060"/>
    <w:rsid w:val="00CB5067"/>
    <w:rsid w:val="00CC0447"/>
    <w:rsid w:val="00CC505B"/>
    <w:rsid w:val="00CC7F5A"/>
    <w:rsid w:val="00CD615B"/>
    <w:rsid w:val="00CE3781"/>
    <w:rsid w:val="00CE5C05"/>
    <w:rsid w:val="00CF0CB4"/>
    <w:rsid w:val="00CF205A"/>
    <w:rsid w:val="00CF24B0"/>
    <w:rsid w:val="00CF3E5C"/>
    <w:rsid w:val="00CF3F98"/>
    <w:rsid w:val="00CF529A"/>
    <w:rsid w:val="00CF617D"/>
    <w:rsid w:val="00CF6186"/>
    <w:rsid w:val="00CF77D0"/>
    <w:rsid w:val="00D02AA0"/>
    <w:rsid w:val="00D02AE3"/>
    <w:rsid w:val="00D02C05"/>
    <w:rsid w:val="00D13944"/>
    <w:rsid w:val="00D169B9"/>
    <w:rsid w:val="00D16F4C"/>
    <w:rsid w:val="00D17581"/>
    <w:rsid w:val="00D177F8"/>
    <w:rsid w:val="00D215C9"/>
    <w:rsid w:val="00D24A69"/>
    <w:rsid w:val="00D31C7A"/>
    <w:rsid w:val="00D3547E"/>
    <w:rsid w:val="00D35A0C"/>
    <w:rsid w:val="00D37D8D"/>
    <w:rsid w:val="00D41B5C"/>
    <w:rsid w:val="00D46FB5"/>
    <w:rsid w:val="00D53D9F"/>
    <w:rsid w:val="00D54F54"/>
    <w:rsid w:val="00D557F8"/>
    <w:rsid w:val="00D70336"/>
    <w:rsid w:val="00D70EDB"/>
    <w:rsid w:val="00D71734"/>
    <w:rsid w:val="00D7469A"/>
    <w:rsid w:val="00D746CC"/>
    <w:rsid w:val="00D746FC"/>
    <w:rsid w:val="00D76C33"/>
    <w:rsid w:val="00D772AA"/>
    <w:rsid w:val="00D774FA"/>
    <w:rsid w:val="00D80781"/>
    <w:rsid w:val="00D80B09"/>
    <w:rsid w:val="00D9210A"/>
    <w:rsid w:val="00D93592"/>
    <w:rsid w:val="00D957CA"/>
    <w:rsid w:val="00D96446"/>
    <w:rsid w:val="00D97438"/>
    <w:rsid w:val="00DA116B"/>
    <w:rsid w:val="00DA4F76"/>
    <w:rsid w:val="00DA5E7F"/>
    <w:rsid w:val="00DB2B02"/>
    <w:rsid w:val="00DB5D1A"/>
    <w:rsid w:val="00DB5E43"/>
    <w:rsid w:val="00DC0C72"/>
    <w:rsid w:val="00DC1D93"/>
    <w:rsid w:val="00DC2A6B"/>
    <w:rsid w:val="00DD25B5"/>
    <w:rsid w:val="00DE3CCC"/>
    <w:rsid w:val="00DE65C9"/>
    <w:rsid w:val="00DE726F"/>
    <w:rsid w:val="00DF0BB1"/>
    <w:rsid w:val="00DF3270"/>
    <w:rsid w:val="00E01E95"/>
    <w:rsid w:val="00E0215A"/>
    <w:rsid w:val="00E03745"/>
    <w:rsid w:val="00E11964"/>
    <w:rsid w:val="00E123A7"/>
    <w:rsid w:val="00E1388C"/>
    <w:rsid w:val="00E147D0"/>
    <w:rsid w:val="00E1706D"/>
    <w:rsid w:val="00E30C7D"/>
    <w:rsid w:val="00E3235E"/>
    <w:rsid w:val="00E4300D"/>
    <w:rsid w:val="00E44F84"/>
    <w:rsid w:val="00E4617C"/>
    <w:rsid w:val="00E46336"/>
    <w:rsid w:val="00E5036C"/>
    <w:rsid w:val="00E51BA7"/>
    <w:rsid w:val="00E55A3F"/>
    <w:rsid w:val="00E60DE7"/>
    <w:rsid w:val="00E64B4A"/>
    <w:rsid w:val="00E66286"/>
    <w:rsid w:val="00E72DD9"/>
    <w:rsid w:val="00E72FF3"/>
    <w:rsid w:val="00E75AE9"/>
    <w:rsid w:val="00E77309"/>
    <w:rsid w:val="00E776E9"/>
    <w:rsid w:val="00E819D3"/>
    <w:rsid w:val="00E91D54"/>
    <w:rsid w:val="00E92EBE"/>
    <w:rsid w:val="00E96FA4"/>
    <w:rsid w:val="00E97A33"/>
    <w:rsid w:val="00EA0203"/>
    <w:rsid w:val="00EA0260"/>
    <w:rsid w:val="00EA2F64"/>
    <w:rsid w:val="00EA7594"/>
    <w:rsid w:val="00EB2BE9"/>
    <w:rsid w:val="00EB3F5D"/>
    <w:rsid w:val="00EB499A"/>
    <w:rsid w:val="00EB55D5"/>
    <w:rsid w:val="00EB79AB"/>
    <w:rsid w:val="00EC68ED"/>
    <w:rsid w:val="00ED4585"/>
    <w:rsid w:val="00ED4D17"/>
    <w:rsid w:val="00EE33C8"/>
    <w:rsid w:val="00EE7523"/>
    <w:rsid w:val="00EF55E7"/>
    <w:rsid w:val="00EF5832"/>
    <w:rsid w:val="00EF618D"/>
    <w:rsid w:val="00F02FD8"/>
    <w:rsid w:val="00F0537D"/>
    <w:rsid w:val="00F06231"/>
    <w:rsid w:val="00F07B3D"/>
    <w:rsid w:val="00F10A42"/>
    <w:rsid w:val="00F16603"/>
    <w:rsid w:val="00F20D37"/>
    <w:rsid w:val="00F20E39"/>
    <w:rsid w:val="00F236C1"/>
    <w:rsid w:val="00F326F4"/>
    <w:rsid w:val="00F327BB"/>
    <w:rsid w:val="00F354FF"/>
    <w:rsid w:val="00F35CAB"/>
    <w:rsid w:val="00F415AC"/>
    <w:rsid w:val="00F42825"/>
    <w:rsid w:val="00F502BB"/>
    <w:rsid w:val="00F50317"/>
    <w:rsid w:val="00F52660"/>
    <w:rsid w:val="00F53264"/>
    <w:rsid w:val="00F555AE"/>
    <w:rsid w:val="00F667CB"/>
    <w:rsid w:val="00F67B4B"/>
    <w:rsid w:val="00F70AE8"/>
    <w:rsid w:val="00F764D4"/>
    <w:rsid w:val="00F8193C"/>
    <w:rsid w:val="00F81E35"/>
    <w:rsid w:val="00F8305F"/>
    <w:rsid w:val="00F837CA"/>
    <w:rsid w:val="00F858BC"/>
    <w:rsid w:val="00F86F71"/>
    <w:rsid w:val="00F87BD7"/>
    <w:rsid w:val="00F95CB1"/>
    <w:rsid w:val="00FA0653"/>
    <w:rsid w:val="00FA1D47"/>
    <w:rsid w:val="00FA2880"/>
    <w:rsid w:val="00FA3A50"/>
    <w:rsid w:val="00FA70F7"/>
    <w:rsid w:val="00FB19BD"/>
    <w:rsid w:val="00FB58D3"/>
    <w:rsid w:val="00FB7507"/>
    <w:rsid w:val="00FC02D4"/>
    <w:rsid w:val="00FC566D"/>
    <w:rsid w:val="00FD221A"/>
    <w:rsid w:val="00FD40A8"/>
    <w:rsid w:val="00FD721E"/>
    <w:rsid w:val="00FE196D"/>
    <w:rsid w:val="00FE2966"/>
    <w:rsid w:val="00FE3A1C"/>
    <w:rsid w:val="00FE3FDC"/>
    <w:rsid w:val="00FE4974"/>
    <w:rsid w:val="00FE49B2"/>
    <w:rsid w:val="00FE5CE8"/>
    <w:rsid w:val="00FE6ADC"/>
    <w:rsid w:val="00FF07B6"/>
    <w:rsid w:val="00FF45A0"/>
    <w:rsid w:val="00FF5666"/>
    <w:rsid w:val="00FF6906"/>
    <w:rsid w:val="00FF71A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00A3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Lauftext"/>
    <w:qFormat/>
    <w:rsid w:val="009D183D"/>
    <w:pPr>
      <w:spacing w:after="0" w:line="260" w:lineRule="exact"/>
    </w:pPr>
  </w:style>
  <w:style w:type="paragraph" w:styleId="berschrift1">
    <w:name w:val="heading 1"/>
    <w:basedOn w:val="Standard"/>
    <w:next w:val="Standard"/>
    <w:link w:val="berschrift1Zchn"/>
    <w:uiPriority w:val="9"/>
    <w:rsid w:val="00C43339"/>
    <w:pPr>
      <w:keepNext/>
      <w:keepLines/>
      <w:numPr>
        <w:numId w:val="2"/>
      </w:numPr>
      <w:spacing w:before="48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unhideWhenUsed/>
    <w:rsid w:val="003B0EE6"/>
    <w:pPr>
      <w:keepNext/>
      <w:keepLines/>
      <w:numPr>
        <w:ilvl w:val="1"/>
        <w:numId w:val="2"/>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43339"/>
    <w:pPr>
      <w:keepNext/>
      <w:keepLines/>
      <w:numPr>
        <w:ilvl w:val="2"/>
        <w:numId w:val="2"/>
      </w:numPr>
      <w:spacing w:before="200" w:after="12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3B0EE6"/>
    <w:pPr>
      <w:keepNext/>
      <w:keepLines/>
      <w:numPr>
        <w:ilvl w:val="3"/>
        <w:numId w:val="2"/>
      </w:numPr>
      <w:spacing w:before="200"/>
      <w:outlineLvl w:val="3"/>
    </w:pPr>
    <w:rPr>
      <w:rFonts w:asciiTheme="majorHAnsi" w:eastAsiaTheme="majorEastAsia" w:hAnsiTheme="majorHAnsi" w:cstheme="majorBidi"/>
      <w:b/>
      <w:bCs/>
      <w:i/>
      <w:iCs/>
      <w:color w:val="C63A24" w:themeColor="accent1"/>
    </w:rPr>
  </w:style>
  <w:style w:type="paragraph" w:styleId="berschrift5">
    <w:name w:val="heading 5"/>
    <w:basedOn w:val="Standard"/>
    <w:next w:val="Standard"/>
    <w:link w:val="berschrift5Zchn"/>
    <w:uiPriority w:val="9"/>
    <w:semiHidden/>
    <w:unhideWhenUsed/>
    <w:qFormat/>
    <w:rsid w:val="003B0EE6"/>
    <w:pPr>
      <w:keepNext/>
      <w:keepLines/>
      <w:numPr>
        <w:ilvl w:val="4"/>
        <w:numId w:val="2"/>
      </w:numPr>
      <w:spacing w:before="200"/>
      <w:outlineLvl w:val="4"/>
    </w:pPr>
    <w:rPr>
      <w:rFonts w:asciiTheme="majorHAnsi" w:eastAsiaTheme="majorEastAsia" w:hAnsiTheme="majorHAnsi" w:cstheme="majorBidi"/>
      <w:color w:val="621C12" w:themeColor="accent1" w:themeShade="7F"/>
    </w:rPr>
  </w:style>
  <w:style w:type="paragraph" w:styleId="berschrift6">
    <w:name w:val="heading 6"/>
    <w:basedOn w:val="Standard"/>
    <w:next w:val="Standard"/>
    <w:link w:val="berschrift6Zchn"/>
    <w:uiPriority w:val="9"/>
    <w:semiHidden/>
    <w:unhideWhenUsed/>
    <w:qFormat/>
    <w:rsid w:val="003B0EE6"/>
    <w:pPr>
      <w:keepNext/>
      <w:keepLines/>
      <w:numPr>
        <w:ilvl w:val="5"/>
        <w:numId w:val="2"/>
      </w:numPr>
      <w:spacing w:before="200"/>
      <w:outlineLvl w:val="5"/>
    </w:pPr>
    <w:rPr>
      <w:rFonts w:asciiTheme="majorHAnsi" w:eastAsiaTheme="majorEastAsia" w:hAnsiTheme="majorHAnsi" w:cstheme="majorBidi"/>
      <w:i/>
      <w:iCs/>
      <w:color w:val="621C12" w:themeColor="accent1" w:themeShade="7F"/>
    </w:rPr>
  </w:style>
  <w:style w:type="paragraph" w:styleId="berschrift7">
    <w:name w:val="heading 7"/>
    <w:basedOn w:val="Standard"/>
    <w:next w:val="Standard"/>
    <w:link w:val="berschrift7Zchn"/>
    <w:uiPriority w:val="9"/>
    <w:semiHidden/>
    <w:unhideWhenUsed/>
    <w:qFormat/>
    <w:rsid w:val="003B0EE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B0EE6"/>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B0EE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726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E726F"/>
  </w:style>
  <w:style w:type="paragraph" w:styleId="Fuzeile">
    <w:name w:val="footer"/>
    <w:basedOn w:val="Standard"/>
    <w:link w:val="FuzeileZchn"/>
    <w:uiPriority w:val="99"/>
    <w:unhideWhenUsed/>
    <w:rsid w:val="00DE726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E726F"/>
  </w:style>
  <w:style w:type="paragraph" w:styleId="Sprechblasentext">
    <w:name w:val="Balloon Text"/>
    <w:basedOn w:val="Standard"/>
    <w:link w:val="SprechblasentextZchn"/>
    <w:uiPriority w:val="99"/>
    <w:semiHidden/>
    <w:unhideWhenUsed/>
    <w:rsid w:val="00DE726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726F"/>
    <w:rPr>
      <w:rFonts w:ascii="Tahoma" w:hAnsi="Tahoma" w:cs="Tahoma"/>
      <w:sz w:val="16"/>
      <w:szCs w:val="16"/>
    </w:rPr>
  </w:style>
  <w:style w:type="table" w:styleId="Tabellenraster">
    <w:name w:val="Table Grid"/>
    <w:basedOn w:val="NormaleTabelle"/>
    <w:uiPriority w:val="59"/>
    <w:rsid w:val="004B3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eDatumBildlegende">
    <w:name w:val="_Adresse / Datum / Bildlegende"/>
    <w:basedOn w:val="Standard"/>
    <w:uiPriority w:val="99"/>
    <w:rsid w:val="004B328D"/>
    <w:pPr>
      <w:autoSpaceDE w:val="0"/>
      <w:autoSpaceDN w:val="0"/>
      <w:adjustRightInd w:val="0"/>
      <w:spacing w:line="240" w:lineRule="atLeast"/>
      <w:textAlignment w:val="center"/>
    </w:pPr>
    <w:rPr>
      <w:rFonts w:ascii="Helvetica" w:hAnsi="Helvetica" w:cs="Helvetica"/>
      <w:color w:val="000000"/>
      <w:spacing w:val="2"/>
      <w:sz w:val="19"/>
      <w:szCs w:val="19"/>
      <w:lang w:val="de-DE"/>
    </w:rPr>
  </w:style>
  <w:style w:type="paragraph" w:customStyle="1" w:styleId="Lauftext">
    <w:name w:val="_Lauftext"/>
    <w:basedOn w:val="Standard"/>
    <w:uiPriority w:val="99"/>
    <w:rsid w:val="00C82843"/>
    <w:pPr>
      <w:autoSpaceDE w:val="0"/>
      <w:autoSpaceDN w:val="0"/>
      <w:adjustRightInd w:val="0"/>
      <w:spacing w:line="260" w:lineRule="atLeast"/>
      <w:textAlignment w:val="center"/>
    </w:pPr>
    <w:rPr>
      <w:rFonts w:ascii="Helvetica" w:hAnsi="Helvetica" w:cs="Helvetica"/>
      <w:color w:val="000000"/>
    </w:rPr>
  </w:style>
  <w:style w:type="paragraph" w:customStyle="1" w:styleId="LauftextAufzhlung">
    <w:name w:val="_Lauftext Aufzählung"/>
    <w:basedOn w:val="Standard"/>
    <w:uiPriority w:val="99"/>
    <w:rsid w:val="00C82843"/>
    <w:pPr>
      <w:tabs>
        <w:tab w:val="left" w:pos="255"/>
      </w:tabs>
      <w:autoSpaceDE w:val="0"/>
      <w:autoSpaceDN w:val="0"/>
      <w:adjustRightInd w:val="0"/>
      <w:spacing w:line="260" w:lineRule="atLeast"/>
      <w:ind w:left="255" w:hanging="255"/>
      <w:textAlignment w:val="center"/>
    </w:pPr>
    <w:rPr>
      <w:rFonts w:ascii="Helvetica" w:hAnsi="Helvetica" w:cs="Helvetica"/>
      <w:color w:val="000000"/>
    </w:rPr>
  </w:style>
  <w:style w:type="character" w:customStyle="1" w:styleId="PSKursiv">
    <w:name w:val="_PS: Kursiv"/>
    <w:uiPriority w:val="99"/>
    <w:rsid w:val="00C82843"/>
    <w:rPr>
      <w:i/>
      <w:iCs/>
    </w:rPr>
  </w:style>
  <w:style w:type="paragraph" w:styleId="Listenabsatz">
    <w:name w:val="List Paragraph"/>
    <w:aliases w:val="Aufzählung"/>
    <w:basedOn w:val="Standard"/>
    <w:uiPriority w:val="34"/>
    <w:qFormat/>
    <w:rsid w:val="00C82843"/>
    <w:pPr>
      <w:numPr>
        <w:numId w:val="1"/>
      </w:numPr>
      <w:tabs>
        <w:tab w:val="left" w:pos="255"/>
      </w:tabs>
      <w:contextualSpacing/>
    </w:pPr>
  </w:style>
  <w:style w:type="character" w:styleId="Hervorhebung">
    <w:name w:val="Emphasis"/>
    <w:aliases w:val="Grossbuchstaben"/>
    <w:basedOn w:val="Absatz-Standardschriftart"/>
    <w:uiPriority w:val="20"/>
    <w:qFormat/>
    <w:rsid w:val="00C82843"/>
    <w:rPr>
      <w:b w:val="0"/>
      <w:i w:val="0"/>
      <w:iCs/>
      <w:caps/>
      <w:smallCaps w:val="0"/>
    </w:rPr>
  </w:style>
  <w:style w:type="paragraph" w:customStyle="1" w:styleId="Betreff">
    <w:name w:val="Betreff"/>
    <w:basedOn w:val="Standard"/>
    <w:next w:val="Standard"/>
    <w:qFormat/>
    <w:rsid w:val="000C54CF"/>
    <w:pPr>
      <w:pBdr>
        <w:bottom w:val="single" w:sz="4" w:space="3" w:color="auto"/>
      </w:pBdr>
      <w:spacing w:after="600"/>
    </w:pPr>
    <w:rPr>
      <w:b/>
    </w:rPr>
  </w:style>
  <w:style w:type="character" w:styleId="Schwachhervorheb">
    <w:name w:val="Subtle Emphasis"/>
    <w:aliases w:val="kursiv"/>
    <w:basedOn w:val="Absatz-Standardschriftart"/>
    <w:uiPriority w:val="19"/>
    <w:qFormat/>
    <w:rsid w:val="00C82843"/>
    <w:rPr>
      <w:i/>
      <w:iCs/>
      <w:color w:val="auto"/>
    </w:rPr>
  </w:style>
  <w:style w:type="character" w:styleId="Intensivhervorheb">
    <w:name w:val="Intense Emphasis"/>
    <w:basedOn w:val="Absatz-Standardschriftart"/>
    <w:uiPriority w:val="21"/>
    <w:qFormat/>
    <w:rsid w:val="00C719B2"/>
    <w:rPr>
      <w:b/>
      <w:bCs/>
      <w:i w:val="0"/>
      <w:iCs/>
      <w:color w:val="CD0920"/>
    </w:rPr>
  </w:style>
  <w:style w:type="character" w:customStyle="1" w:styleId="berschrift1Zchn">
    <w:name w:val="Überschrift 1 Zchn"/>
    <w:basedOn w:val="Absatz-Standardschriftart"/>
    <w:link w:val="berschrift1"/>
    <w:uiPriority w:val="9"/>
    <w:rsid w:val="00C43339"/>
    <w:rPr>
      <w:rFonts w:asciiTheme="majorHAnsi" w:eastAsiaTheme="majorEastAsia" w:hAnsiTheme="majorHAnsi" w:cstheme="majorBidi"/>
      <w:b/>
      <w:bCs/>
      <w:szCs w:val="28"/>
    </w:rPr>
  </w:style>
  <w:style w:type="character" w:customStyle="1" w:styleId="berschrift2Zchn">
    <w:name w:val="Überschrift 2 Zchn"/>
    <w:basedOn w:val="Absatz-Standardschriftart"/>
    <w:link w:val="berschrift2"/>
    <w:uiPriority w:val="9"/>
    <w:rsid w:val="003B0EE6"/>
    <w:rPr>
      <w:rFonts w:asciiTheme="majorHAnsi" w:eastAsiaTheme="majorEastAsia" w:hAnsiTheme="majorHAnsi" w:cstheme="majorBidi"/>
      <w:b/>
      <w:bCs/>
      <w:szCs w:val="26"/>
    </w:rPr>
  </w:style>
  <w:style w:type="paragraph" w:styleId="Titel">
    <w:name w:val="Title"/>
    <w:basedOn w:val="Standard"/>
    <w:next w:val="Standard"/>
    <w:link w:val="TitelZchn"/>
    <w:uiPriority w:val="10"/>
    <w:rsid w:val="00C82843"/>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C82843"/>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C82843"/>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C82843"/>
    <w:rPr>
      <w:rFonts w:asciiTheme="majorHAnsi" w:eastAsiaTheme="majorEastAsia" w:hAnsiTheme="majorHAnsi" w:cstheme="majorBidi"/>
      <w:i/>
      <w:iCs/>
      <w:spacing w:val="15"/>
      <w:sz w:val="24"/>
      <w:szCs w:val="24"/>
    </w:rPr>
  </w:style>
  <w:style w:type="character" w:styleId="Fett">
    <w:name w:val="Strong"/>
    <w:aliases w:val="fett"/>
    <w:basedOn w:val="Absatz-Standardschriftart"/>
    <w:uiPriority w:val="22"/>
    <w:qFormat/>
    <w:rsid w:val="00C82843"/>
    <w:rPr>
      <w:b/>
      <w:bCs/>
    </w:rPr>
  </w:style>
  <w:style w:type="paragraph" w:styleId="KeinLeerraum">
    <w:name w:val="No Spacing"/>
    <w:uiPriority w:val="1"/>
    <w:rsid w:val="00217CD3"/>
    <w:pPr>
      <w:spacing w:after="0" w:line="240" w:lineRule="auto"/>
    </w:pPr>
    <w:rPr>
      <w:sz w:val="20"/>
    </w:rPr>
  </w:style>
  <w:style w:type="paragraph" w:customStyle="1" w:styleId="nichtdruckenausblenden">
    <w:name w:val="nicht drucken / ausblenden"/>
    <w:basedOn w:val="Standard"/>
    <w:qFormat/>
    <w:rsid w:val="008B70EA"/>
    <w:rPr>
      <w:vanish/>
      <w:szCs w:val="20"/>
    </w:rPr>
  </w:style>
  <w:style w:type="character" w:customStyle="1" w:styleId="berschrift3Zchn">
    <w:name w:val="Überschrift 3 Zchn"/>
    <w:basedOn w:val="Absatz-Standardschriftart"/>
    <w:link w:val="berschrift3"/>
    <w:uiPriority w:val="9"/>
    <w:rsid w:val="00C43339"/>
    <w:rPr>
      <w:rFonts w:asciiTheme="majorHAnsi" w:eastAsiaTheme="majorEastAsia" w:hAnsiTheme="majorHAnsi" w:cstheme="majorBidi"/>
      <w:b/>
      <w:bCs/>
    </w:rPr>
  </w:style>
  <w:style w:type="paragraph" w:styleId="Funotentext">
    <w:name w:val="footnote text"/>
    <w:basedOn w:val="Standard"/>
    <w:link w:val="FunotentextZchn"/>
    <w:uiPriority w:val="99"/>
    <w:unhideWhenUsed/>
    <w:rsid w:val="00B24036"/>
    <w:pPr>
      <w:spacing w:line="240" w:lineRule="auto"/>
    </w:pPr>
    <w:rPr>
      <w:sz w:val="24"/>
      <w:szCs w:val="24"/>
    </w:rPr>
  </w:style>
  <w:style w:type="character" w:customStyle="1" w:styleId="berschrift4Zchn">
    <w:name w:val="Überschrift 4 Zchn"/>
    <w:basedOn w:val="Absatz-Standardschriftart"/>
    <w:link w:val="berschrift4"/>
    <w:uiPriority w:val="9"/>
    <w:semiHidden/>
    <w:rsid w:val="003B0EE6"/>
    <w:rPr>
      <w:rFonts w:asciiTheme="majorHAnsi" w:eastAsiaTheme="majorEastAsia" w:hAnsiTheme="majorHAnsi" w:cstheme="majorBidi"/>
      <w:b/>
      <w:bCs/>
      <w:i/>
      <w:iCs/>
      <w:color w:val="C63A24" w:themeColor="accent1"/>
    </w:rPr>
  </w:style>
  <w:style w:type="character" w:customStyle="1" w:styleId="berschrift5Zchn">
    <w:name w:val="Überschrift 5 Zchn"/>
    <w:basedOn w:val="Absatz-Standardschriftart"/>
    <w:link w:val="berschrift5"/>
    <w:uiPriority w:val="9"/>
    <w:semiHidden/>
    <w:rsid w:val="003B0EE6"/>
    <w:rPr>
      <w:rFonts w:asciiTheme="majorHAnsi" w:eastAsiaTheme="majorEastAsia" w:hAnsiTheme="majorHAnsi" w:cstheme="majorBidi"/>
      <w:color w:val="621C12" w:themeColor="accent1" w:themeShade="7F"/>
    </w:rPr>
  </w:style>
  <w:style w:type="character" w:customStyle="1" w:styleId="berschrift6Zchn">
    <w:name w:val="Überschrift 6 Zchn"/>
    <w:basedOn w:val="Absatz-Standardschriftart"/>
    <w:link w:val="berschrift6"/>
    <w:uiPriority w:val="9"/>
    <w:semiHidden/>
    <w:rsid w:val="003B0EE6"/>
    <w:rPr>
      <w:rFonts w:asciiTheme="majorHAnsi" w:eastAsiaTheme="majorEastAsia" w:hAnsiTheme="majorHAnsi" w:cstheme="majorBidi"/>
      <w:i/>
      <w:iCs/>
      <w:color w:val="621C12" w:themeColor="accent1" w:themeShade="7F"/>
    </w:rPr>
  </w:style>
  <w:style w:type="character" w:customStyle="1" w:styleId="berschrift7Zchn">
    <w:name w:val="Überschrift 7 Zchn"/>
    <w:basedOn w:val="Absatz-Standardschriftart"/>
    <w:link w:val="berschrift7"/>
    <w:uiPriority w:val="9"/>
    <w:semiHidden/>
    <w:rsid w:val="003B0EE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B0EE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B0EE6"/>
    <w:rPr>
      <w:rFonts w:asciiTheme="majorHAnsi" w:eastAsiaTheme="majorEastAsia" w:hAnsiTheme="majorHAnsi" w:cstheme="majorBidi"/>
      <w:i/>
      <w:iCs/>
      <w:color w:val="404040" w:themeColor="text1" w:themeTint="BF"/>
      <w:sz w:val="20"/>
      <w:szCs w:val="20"/>
    </w:rPr>
  </w:style>
  <w:style w:type="character" w:customStyle="1" w:styleId="FunotentextZchn">
    <w:name w:val="Fußnotentext Zchn"/>
    <w:basedOn w:val="Absatz-Standardschriftart"/>
    <w:link w:val="Funotentext"/>
    <w:uiPriority w:val="99"/>
    <w:rsid w:val="00B24036"/>
    <w:rPr>
      <w:sz w:val="24"/>
      <w:szCs w:val="24"/>
    </w:rPr>
  </w:style>
  <w:style w:type="character" w:styleId="Funotenzeichen">
    <w:name w:val="footnote reference"/>
    <w:basedOn w:val="Absatz-Standardschriftart"/>
    <w:uiPriority w:val="99"/>
    <w:unhideWhenUsed/>
    <w:rsid w:val="00B24036"/>
    <w:rPr>
      <w:vertAlign w:val="superscript"/>
    </w:rPr>
  </w:style>
  <w:style w:type="paragraph" w:styleId="Verzeichnis1">
    <w:name w:val="toc 1"/>
    <w:basedOn w:val="Standard"/>
    <w:next w:val="Standard"/>
    <w:autoRedefine/>
    <w:uiPriority w:val="39"/>
    <w:unhideWhenUsed/>
    <w:rsid w:val="00862CE2"/>
    <w:pPr>
      <w:tabs>
        <w:tab w:val="left" w:pos="440"/>
        <w:tab w:val="right" w:leader="dot" w:pos="7305"/>
      </w:tabs>
      <w:spacing w:before="120"/>
    </w:pPr>
    <w:rPr>
      <w:rFonts w:asciiTheme="majorHAnsi" w:hAnsiTheme="majorHAnsi" w:cstheme="minorHAnsi"/>
      <w:bCs/>
      <w:caps/>
      <w:sz w:val="24"/>
      <w:szCs w:val="24"/>
      <w:lang w:val="fr-CH"/>
    </w:rPr>
  </w:style>
  <w:style w:type="paragraph" w:styleId="Verzeichnis2">
    <w:name w:val="toc 2"/>
    <w:basedOn w:val="Standard"/>
    <w:next w:val="Standard"/>
    <w:autoRedefine/>
    <w:uiPriority w:val="39"/>
    <w:unhideWhenUsed/>
    <w:rsid w:val="00D46FB5"/>
    <w:pPr>
      <w:ind w:left="220"/>
    </w:pPr>
    <w:rPr>
      <w:rFonts w:cstheme="minorHAnsi"/>
      <w:smallCaps/>
    </w:rPr>
  </w:style>
  <w:style w:type="paragraph" w:styleId="Verzeichnis3">
    <w:name w:val="toc 3"/>
    <w:basedOn w:val="Standard"/>
    <w:next w:val="Standard"/>
    <w:autoRedefine/>
    <w:uiPriority w:val="39"/>
    <w:unhideWhenUsed/>
    <w:rsid w:val="00FA0653"/>
    <w:pPr>
      <w:ind w:left="440"/>
    </w:pPr>
    <w:rPr>
      <w:rFonts w:cstheme="minorHAnsi"/>
      <w:i/>
    </w:rPr>
  </w:style>
  <w:style w:type="paragraph" w:styleId="Verzeichnis4">
    <w:name w:val="toc 4"/>
    <w:basedOn w:val="Standard"/>
    <w:next w:val="Standard"/>
    <w:autoRedefine/>
    <w:uiPriority w:val="39"/>
    <w:unhideWhenUsed/>
    <w:rsid w:val="00D46FB5"/>
    <w:pPr>
      <w:ind w:left="660"/>
    </w:pPr>
    <w:rPr>
      <w:rFonts w:cstheme="minorHAnsi"/>
      <w:sz w:val="18"/>
      <w:szCs w:val="18"/>
    </w:rPr>
  </w:style>
  <w:style w:type="paragraph" w:styleId="Verzeichnis5">
    <w:name w:val="toc 5"/>
    <w:basedOn w:val="Standard"/>
    <w:next w:val="Standard"/>
    <w:autoRedefine/>
    <w:uiPriority w:val="39"/>
    <w:unhideWhenUsed/>
    <w:rsid w:val="00D46FB5"/>
    <w:pPr>
      <w:ind w:left="880"/>
    </w:pPr>
    <w:rPr>
      <w:rFonts w:cstheme="minorHAnsi"/>
      <w:sz w:val="18"/>
      <w:szCs w:val="18"/>
    </w:rPr>
  </w:style>
  <w:style w:type="paragraph" w:styleId="Verzeichnis6">
    <w:name w:val="toc 6"/>
    <w:basedOn w:val="Standard"/>
    <w:next w:val="Standard"/>
    <w:autoRedefine/>
    <w:uiPriority w:val="39"/>
    <w:unhideWhenUsed/>
    <w:rsid w:val="00D46FB5"/>
    <w:pPr>
      <w:ind w:left="1100"/>
    </w:pPr>
    <w:rPr>
      <w:rFonts w:cstheme="minorHAnsi"/>
      <w:sz w:val="18"/>
      <w:szCs w:val="18"/>
    </w:rPr>
  </w:style>
  <w:style w:type="paragraph" w:styleId="Verzeichnis7">
    <w:name w:val="toc 7"/>
    <w:basedOn w:val="Standard"/>
    <w:next w:val="Standard"/>
    <w:autoRedefine/>
    <w:uiPriority w:val="39"/>
    <w:unhideWhenUsed/>
    <w:rsid w:val="00D46FB5"/>
    <w:pPr>
      <w:ind w:left="1320"/>
    </w:pPr>
    <w:rPr>
      <w:rFonts w:cstheme="minorHAnsi"/>
      <w:sz w:val="18"/>
      <w:szCs w:val="18"/>
    </w:rPr>
  </w:style>
  <w:style w:type="paragraph" w:styleId="Verzeichnis8">
    <w:name w:val="toc 8"/>
    <w:basedOn w:val="Standard"/>
    <w:next w:val="Standard"/>
    <w:autoRedefine/>
    <w:uiPriority w:val="39"/>
    <w:unhideWhenUsed/>
    <w:rsid w:val="00D46FB5"/>
    <w:pPr>
      <w:ind w:left="1540"/>
    </w:pPr>
    <w:rPr>
      <w:rFonts w:cstheme="minorHAnsi"/>
      <w:sz w:val="18"/>
      <w:szCs w:val="18"/>
    </w:rPr>
  </w:style>
  <w:style w:type="paragraph" w:styleId="Verzeichnis9">
    <w:name w:val="toc 9"/>
    <w:basedOn w:val="Standard"/>
    <w:next w:val="Standard"/>
    <w:autoRedefine/>
    <w:uiPriority w:val="39"/>
    <w:unhideWhenUsed/>
    <w:rsid w:val="00D46FB5"/>
    <w:pPr>
      <w:ind w:left="1760"/>
    </w:pPr>
    <w:rPr>
      <w:rFonts w:cstheme="minorHAnsi"/>
      <w:sz w:val="18"/>
      <w:szCs w:val="18"/>
    </w:rPr>
  </w:style>
  <w:style w:type="character" w:styleId="Link">
    <w:name w:val="Hyperlink"/>
    <w:basedOn w:val="Absatz-Standardschriftart"/>
    <w:uiPriority w:val="99"/>
    <w:unhideWhenUsed/>
    <w:rsid w:val="00191A5F"/>
    <w:rPr>
      <w:color w:val="000000" w:themeColor="hyperlink"/>
      <w:u w:val="single"/>
    </w:rPr>
  </w:style>
  <w:style w:type="character" w:styleId="Kommentarzeichen">
    <w:name w:val="annotation reference"/>
    <w:basedOn w:val="Absatz-Standardschriftart"/>
    <w:uiPriority w:val="99"/>
    <w:semiHidden/>
    <w:unhideWhenUsed/>
    <w:rsid w:val="00E72FF3"/>
    <w:rPr>
      <w:sz w:val="18"/>
      <w:szCs w:val="18"/>
    </w:rPr>
  </w:style>
  <w:style w:type="paragraph" w:styleId="Kommentartext">
    <w:name w:val="annotation text"/>
    <w:basedOn w:val="Standard"/>
    <w:link w:val="KommentartextZchn"/>
    <w:uiPriority w:val="99"/>
    <w:semiHidden/>
    <w:unhideWhenUsed/>
    <w:rsid w:val="00E72FF3"/>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72FF3"/>
    <w:rPr>
      <w:sz w:val="24"/>
      <w:szCs w:val="24"/>
    </w:rPr>
  </w:style>
  <w:style w:type="paragraph" w:styleId="Kommentarthema">
    <w:name w:val="annotation subject"/>
    <w:basedOn w:val="Kommentartext"/>
    <w:next w:val="Kommentartext"/>
    <w:link w:val="KommentarthemaZchn"/>
    <w:uiPriority w:val="99"/>
    <w:semiHidden/>
    <w:unhideWhenUsed/>
    <w:rsid w:val="00E72FF3"/>
    <w:rPr>
      <w:b/>
      <w:bCs/>
      <w:sz w:val="20"/>
      <w:szCs w:val="20"/>
    </w:rPr>
  </w:style>
  <w:style w:type="character" w:customStyle="1" w:styleId="KommentarthemaZchn">
    <w:name w:val="Kommentarthema Zchn"/>
    <w:basedOn w:val="KommentartextZchn"/>
    <w:link w:val="Kommentarthema"/>
    <w:uiPriority w:val="99"/>
    <w:semiHidden/>
    <w:rsid w:val="00E72FF3"/>
    <w:rPr>
      <w:b/>
      <w:bCs/>
      <w:sz w:val="20"/>
      <w:szCs w:val="20"/>
    </w:rPr>
  </w:style>
  <w:style w:type="paragraph" w:customStyle="1" w:styleId="NumAbs">
    <w:name w:val="NumAbs"/>
    <w:basedOn w:val="Standard"/>
    <w:link w:val="NumAbsChar"/>
    <w:qFormat/>
    <w:rsid w:val="00CD615B"/>
    <w:pPr>
      <w:numPr>
        <w:numId w:val="27"/>
      </w:numPr>
      <w:spacing w:after="240" w:line="360" w:lineRule="auto"/>
      <w:ind w:left="0" w:hanging="454"/>
      <w:jc w:val="both"/>
    </w:pPr>
    <w:rPr>
      <w:rFonts w:ascii="Helvetica" w:hAnsi="Helvetica"/>
      <w:sz w:val="24"/>
      <w:szCs w:val="24"/>
    </w:rPr>
  </w:style>
  <w:style w:type="character" w:customStyle="1" w:styleId="NumAbsChar">
    <w:name w:val="NumAbs Char"/>
    <w:basedOn w:val="Absatz-Standardschriftart"/>
    <w:link w:val="NumAbs"/>
    <w:rsid w:val="00CD615B"/>
    <w:rPr>
      <w:rFonts w:ascii="Helvetica" w:hAnsi="Helvetica"/>
      <w:sz w:val="24"/>
      <w:szCs w:val="24"/>
    </w:rPr>
  </w:style>
  <w:style w:type="paragraph" w:styleId="berarbeitung">
    <w:name w:val="Revision"/>
    <w:hidden/>
    <w:uiPriority w:val="99"/>
    <w:semiHidden/>
    <w:rsid w:val="00440466"/>
    <w:pPr>
      <w:spacing w:after="0" w:line="240" w:lineRule="auto"/>
    </w:pPr>
  </w:style>
  <w:style w:type="paragraph" w:customStyle="1" w:styleId="paragraph">
    <w:name w:val="paragraph"/>
    <w:basedOn w:val="Standard"/>
    <w:rsid w:val="00B51167"/>
    <w:pPr>
      <w:spacing w:before="100" w:beforeAutospacing="1" w:after="100" w:afterAutospacing="1" w:line="240" w:lineRule="auto"/>
    </w:pPr>
    <w:rPr>
      <w:rFonts w:ascii="Times" w:hAnsi="Times"/>
      <w:sz w:val="20"/>
      <w:szCs w:val="20"/>
      <w:lang w:eastAsia="de-DE"/>
    </w:rPr>
  </w:style>
  <w:style w:type="character" w:customStyle="1" w:styleId="normaltextrun">
    <w:name w:val="normaltextrun"/>
    <w:basedOn w:val="Absatz-Standardschriftart"/>
    <w:rsid w:val="00B51167"/>
  </w:style>
  <w:style w:type="character" w:customStyle="1" w:styleId="eop">
    <w:name w:val="eop"/>
    <w:basedOn w:val="Absatz-Standardschriftart"/>
    <w:rsid w:val="00B51167"/>
  </w:style>
  <w:style w:type="character" w:customStyle="1" w:styleId="spellingerror">
    <w:name w:val="spellingerror"/>
    <w:basedOn w:val="Absatz-Standardschriftart"/>
    <w:rsid w:val="00B51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063730">
      <w:bodyDiv w:val="1"/>
      <w:marLeft w:val="0"/>
      <w:marRight w:val="0"/>
      <w:marTop w:val="0"/>
      <w:marBottom w:val="0"/>
      <w:divBdr>
        <w:top w:val="none" w:sz="0" w:space="0" w:color="auto"/>
        <w:left w:val="none" w:sz="0" w:space="0" w:color="auto"/>
        <w:bottom w:val="none" w:sz="0" w:space="0" w:color="auto"/>
        <w:right w:val="none" w:sz="0" w:space="0" w:color="auto"/>
      </w:divBdr>
    </w:div>
    <w:div w:id="885139376">
      <w:bodyDiv w:val="1"/>
      <w:marLeft w:val="0"/>
      <w:marRight w:val="0"/>
      <w:marTop w:val="0"/>
      <w:marBottom w:val="0"/>
      <w:divBdr>
        <w:top w:val="none" w:sz="0" w:space="0" w:color="auto"/>
        <w:left w:val="none" w:sz="0" w:space="0" w:color="auto"/>
        <w:bottom w:val="none" w:sz="0" w:space="0" w:color="auto"/>
        <w:right w:val="none" w:sz="0" w:space="0" w:color="auto"/>
      </w:divBdr>
    </w:div>
    <w:div w:id="893271727">
      <w:bodyDiv w:val="1"/>
      <w:marLeft w:val="0"/>
      <w:marRight w:val="0"/>
      <w:marTop w:val="0"/>
      <w:marBottom w:val="0"/>
      <w:divBdr>
        <w:top w:val="none" w:sz="0" w:space="0" w:color="auto"/>
        <w:left w:val="none" w:sz="0" w:space="0" w:color="auto"/>
        <w:bottom w:val="none" w:sz="0" w:space="0" w:color="auto"/>
        <w:right w:val="none" w:sz="0" w:space="0" w:color="auto"/>
      </w:divBdr>
    </w:div>
    <w:div w:id="1285504922">
      <w:bodyDiv w:val="1"/>
      <w:marLeft w:val="0"/>
      <w:marRight w:val="0"/>
      <w:marTop w:val="0"/>
      <w:marBottom w:val="0"/>
      <w:divBdr>
        <w:top w:val="none" w:sz="0" w:space="0" w:color="auto"/>
        <w:left w:val="none" w:sz="0" w:space="0" w:color="auto"/>
        <w:bottom w:val="none" w:sz="0" w:space="0" w:color="auto"/>
        <w:right w:val="none" w:sz="0" w:space="0" w:color="auto"/>
      </w:divBdr>
      <w:divsChild>
        <w:div w:id="902373711">
          <w:marLeft w:val="0"/>
          <w:marRight w:val="0"/>
          <w:marTop w:val="0"/>
          <w:marBottom w:val="0"/>
          <w:divBdr>
            <w:top w:val="none" w:sz="0" w:space="0" w:color="auto"/>
            <w:left w:val="none" w:sz="0" w:space="0" w:color="auto"/>
            <w:bottom w:val="none" w:sz="0" w:space="0" w:color="auto"/>
            <w:right w:val="none" w:sz="0" w:space="0" w:color="auto"/>
          </w:divBdr>
        </w:div>
        <w:div w:id="90782880">
          <w:marLeft w:val="0"/>
          <w:marRight w:val="0"/>
          <w:marTop w:val="0"/>
          <w:marBottom w:val="0"/>
          <w:divBdr>
            <w:top w:val="none" w:sz="0" w:space="0" w:color="auto"/>
            <w:left w:val="none" w:sz="0" w:space="0" w:color="auto"/>
            <w:bottom w:val="none" w:sz="0" w:space="0" w:color="auto"/>
            <w:right w:val="none" w:sz="0" w:space="0" w:color="auto"/>
          </w:divBdr>
          <w:divsChild>
            <w:div w:id="1663581031">
              <w:marLeft w:val="0"/>
              <w:marRight w:val="0"/>
              <w:marTop w:val="0"/>
              <w:marBottom w:val="0"/>
              <w:divBdr>
                <w:top w:val="none" w:sz="0" w:space="0" w:color="auto"/>
                <w:left w:val="none" w:sz="0" w:space="0" w:color="auto"/>
                <w:bottom w:val="none" w:sz="0" w:space="0" w:color="auto"/>
                <w:right w:val="none" w:sz="0" w:space="0" w:color="auto"/>
              </w:divBdr>
            </w:div>
          </w:divsChild>
        </w:div>
        <w:div w:id="534585575">
          <w:marLeft w:val="0"/>
          <w:marRight w:val="0"/>
          <w:marTop w:val="0"/>
          <w:marBottom w:val="0"/>
          <w:divBdr>
            <w:top w:val="none" w:sz="0" w:space="0" w:color="auto"/>
            <w:left w:val="none" w:sz="0" w:space="0" w:color="auto"/>
            <w:bottom w:val="none" w:sz="0" w:space="0" w:color="auto"/>
            <w:right w:val="none" w:sz="0" w:space="0" w:color="auto"/>
          </w:divBdr>
        </w:div>
      </w:divsChild>
    </w:div>
    <w:div w:id="210773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www.bag.admin.ch/bag/de/home/themen/mensch-gesundheit/strahlung-radioaktivitaet-schall/strahlung-gesundheit/wirkung-von-strahlung-auf-die-gesundheit.html" TargetMode="External"/></Relationships>
</file>

<file path=word/theme/theme1.xml><?xml version="1.0" encoding="utf-8"?>
<a:theme xmlns:a="http://schemas.openxmlformats.org/drawingml/2006/main" name="Larissa">
  <a:themeElements>
    <a:clrScheme name="SES">
      <a:dk1>
        <a:sysClr val="windowText" lastClr="000000"/>
      </a:dk1>
      <a:lt1>
        <a:srgbClr val="FFFFFF"/>
      </a:lt1>
      <a:dk2>
        <a:srgbClr val="C63A24"/>
      </a:dk2>
      <a:lt2>
        <a:srgbClr val="FFFFFF"/>
      </a:lt2>
      <a:accent1>
        <a:srgbClr val="C63A24"/>
      </a:accent1>
      <a:accent2>
        <a:srgbClr val="FECB2E"/>
      </a:accent2>
      <a:accent3>
        <a:srgbClr val="86BA31"/>
      </a:accent3>
      <a:accent4>
        <a:srgbClr val="808485"/>
      </a:accent4>
      <a:accent5>
        <a:srgbClr val="A9723B"/>
      </a:accent5>
      <a:accent6>
        <a:srgbClr val="1786B7"/>
      </a:accent6>
      <a:hlink>
        <a:srgbClr val="000000"/>
      </a:hlink>
      <a:folHlink>
        <a:srgbClr val="000000"/>
      </a:folHlink>
    </a:clrScheme>
    <a:fontScheme name="SE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88CE-D0F3-5841-AB6F-60034495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6410</Words>
  <Characters>40388</Characters>
  <Application>Microsoft Macintosh Word</Application>
  <DocSecurity>0</DocSecurity>
  <Lines>336</Lines>
  <Paragraphs>93</Paragraphs>
  <ScaleCrop>false</ScaleCrop>
  <HeadingPairs>
    <vt:vector size="2" baseType="variant">
      <vt:variant>
        <vt:lpstr>Titel</vt:lpstr>
      </vt:variant>
      <vt:variant>
        <vt:i4>1</vt:i4>
      </vt:variant>
    </vt:vector>
  </HeadingPairs>
  <TitlesOfParts>
    <vt:vector size="1" baseType="lpstr">
      <vt:lpstr/>
    </vt:vector>
  </TitlesOfParts>
  <Company>Schweizerische Energiestiftung</Company>
  <LinksUpToDate>false</LinksUpToDate>
  <CharactersWithSpaces>46705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Epprecht</dc:creator>
  <cp:lastModifiedBy>Microsoft Office-Anwender</cp:lastModifiedBy>
  <cp:revision>13</cp:revision>
  <cp:lastPrinted>2018-03-14T08:45:00Z</cp:lastPrinted>
  <dcterms:created xsi:type="dcterms:W3CDTF">2018-03-06T20:51:00Z</dcterms:created>
  <dcterms:modified xsi:type="dcterms:W3CDTF">2018-03-27T22:18:00Z</dcterms:modified>
</cp:coreProperties>
</file>